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CBE" w:rsidRDefault="003D6CBE" w:rsidP="003D6CBE">
      <w:pPr>
        <w:widowControl w:val="0"/>
        <w:jc w:val="center"/>
      </w:pPr>
      <w:r w:rsidRPr="003D6CBE">
        <w:rPr>
          <w:b/>
        </w:rPr>
        <w:t>South Carolina General Assembly</w:t>
      </w:r>
    </w:p>
    <w:p w:rsidR="003D6CBE" w:rsidRDefault="003D6CBE" w:rsidP="003D6CBE">
      <w:pPr>
        <w:widowControl w:val="0"/>
        <w:jc w:val="center"/>
      </w:pPr>
      <w:r>
        <w:t>123rd Session, 2019-2020</w:t>
      </w:r>
    </w:p>
    <w:p w:rsidR="003D6CBE" w:rsidRDefault="003D6CBE" w:rsidP="003D6CBE">
      <w:pPr>
        <w:widowControl w:val="0"/>
        <w:jc w:val="left"/>
      </w:pPr>
    </w:p>
    <w:p w:rsidR="003D6CBE" w:rsidRDefault="003D6CBE" w:rsidP="003D6CBE">
      <w:pPr>
        <w:widowControl w:val="0"/>
        <w:jc w:val="left"/>
        <w:rPr>
          <w:b/>
        </w:rPr>
      </w:pPr>
      <w:r w:rsidRPr="003D6CBE">
        <w:rPr>
          <w:b/>
        </w:rPr>
        <w:t>S.</w:t>
      </w:r>
      <w:r>
        <w:rPr>
          <w:b/>
        </w:rPr>
        <w:t xml:space="preserve"> </w:t>
      </w:r>
      <w:r w:rsidRPr="003D6CBE">
        <w:rPr>
          <w:b/>
        </w:rPr>
        <w:t>172</w:t>
      </w:r>
    </w:p>
    <w:p w:rsidR="003D6CBE" w:rsidRDefault="003D6CBE" w:rsidP="003D6CBE">
      <w:pPr>
        <w:widowControl w:val="0"/>
        <w:jc w:val="left"/>
        <w:rPr>
          <w:b/>
        </w:rPr>
      </w:pPr>
    </w:p>
    <w:p w:rsidR="003D6CBE" w:rsidRDefault="003D6CBE" w:rsidP="003D6CBE">
      <w:pPr>
        <w:widowControl w:val="0"/>
        <w:jc w:val="left"/>
      </w:pPr>
      <w:r w:rsidRPr="003D6CBE">
        <w:rPr>
          <w:b/>
        </w:rPr>
        <w:t>STATUS INFORMATION</w:t>
      </w:r>
    </w:p>
    <w:p w:rsidR="003D6CBE" w:rsidRDefault="003D6CBE" w:rsidP="003D6CBE">
      <w:pPr>
        <w:widowControl w:val="0"/>
        <w:jc w:val="left"/>
      </w:pPr>
    </w:p>
    <w:p w:rsidR="003D6CBE" w:rsidRDefault="003D6CBE" w:rsidP="003D6CBE">
      <w:pPr>
        <w:widowControl w:val="0"/>
        <w:jc w:val="left"/>
      </w:pPr>
      <w:r>
        <w:t>General Bill</w:t>
      </w:r>
    </w:p>
    <w:p w:rsidR="003D6CBE" w:rsidRDefault="003D6CBE" w:rsidP="003D6CBE">
      <w:pPr>
        <w:widowControl w:val="0"/>
        <w:jc w:val="left"/>
      </w:pPr>
      <w:r>
        <w:t>Sponsors: Senator Hembree</w:t>
      </w:r>
    </w:p>
    <w:p w:rsidR="003D6CBE" w:rsidRDefault="003D6CBE" w:rsidP="003D6CBE">
      <w:pPr>
        <w:widowControl w:val="0"/>
        <w:jc w:val="left"/>
      </w:pPr>
      <w:r>
        <w:t>Document Path: l:\council\bills\bbm\1044dg19.docx</w:t>
      </w:r>
    </w:p>
    <w:p w:rsidR="003D6CBE" w:rsidRDefault="003D6CBE" w:rsidP="003D6CBE">
      <w:pPr>
        <w:widowControl w:val="0"/>
        <w:jc w:val="left"/>
      </w:pPr>
    </w:p>
    <w:p w:rsidR="0071178F" w:rsidRDefault="0071178F" w:rsidP="003D6CBE">
      <w:pPr>
        <w:widowControl w:val="0"/>
        <w:jc w:val="left"/>
      </w:pPr>
      <w:r>
        <w:t>Introduced in the Senate on January 8, 2019</w:t>
      </w:r>
    </w:p>
    <w:p w:rsidR="0071178F" w:rsidRPr="0071178F" w:rsidRDefault="0071178F" w:rsidP="003D6CBE">
      <w:pPr>
        <w:widowControl w:val="0"/>
        <w:jc w:val="left"/>
      </w:pPr>
      <w:r>
        <w:t xml:space="preserve">Currently residing in the Senate Committee on </w:t>
      </w:r>
      <w:r w:rsidRPr="0071178F">
        <w:rPr>
          <w:b/>
        </w:rPr>
        <w:t>Finance</w:t>
      </w:r>
    </w:p>
    <w:p w:rsidR="0071178F" w:rsidRDefault="0071178F" w:rsidP="003D6CBE">
      <w:pPr>
        <w:widowControl w:val="0"/>
        <w:jc w:val="left"/>
      </w:pPr>
    </w:p>
    <w:p w:rsidR="003D6CBE" w:rsidRDefault="003D6CBE" w:rsidP="003D6CBE">
      <w:pPr>
        <w:widowControl w:val="0"/>
        <w:jc w:val="left"/>
      </w:pPr>
      <w:r>
        <w:t xml:space="preserve">Summary: </w:t>
      </w:r>
      <w:r w:rsidR="009945FE">
        <w:t>Local Option Motor Fuel User Fee Act</w:t>
      </w:r>
    </w:p>
    <w:p w:rsidR="003D6CBE" w:rsidRDefault="003D6CBE" w:rsidP="003D6CBE">
      <w:pPr>
        <w:widowControl w:val="0"/>
        <w:jc w:val="left"/>
      </w:pPr>
    </w:p>
    <w:p w:rsidR="003D6CBE" w:rsidRDefault="003D6CBE" w:rsidP="003D6CBE">
      <w:pPr>
        <w:widowControl w:val="0"/>
        <w:jc w:val="left"/>
      </w:pPr>
    </w:p>
    <w:p w:rsidR="003D6CBE" w:rsidRDefault="003D6CBE" w:rsidP="003D6CBE">
      <w:pPr>
        <w:widowControl w:val="0"/>
        <w:tabs>
          <w:tab w:val="center" w:pos="590"/>
          <w:tab w:val="center" w:pos="1440"/>
          <w:tab w:val="left" w:pos="1872"/>
          <w:tab w:val="left" w:pos="9187"/>
        </w:tabs>
        <w:jc w:val="left"/>
      </w:pPr>
      <w:r w:rsidRPr="003D6CBE">
        <w:rPr>
          <w:b/>
        </w:rPr>
        <w:t>HISTORY OF LEGISLATIVE ACTIONS</w:t>
      </w:r>
    </w:p>
    <w:p w:rsidR="003D6CBE" w:rsidRDefault="003D6CBE" w:rsidP="003D6CBE">
      <w:pPr>
        <w:widowControl w:val="0"/>
        <w:tabs>
          <w:tab w:val="center" w:pos="590"/>
          <w:tab w:val="center" w:pos="1440"/>
          <w:tab w:val="left" w:pos="1872"/>
          <w:tab w:val="left" w:pos="9187"/>
        </w:tabs>
        <w:jc w:val="left"/>
      </w:pPr>
    </w:p>
    <w:p w:rsidR="003D6CBE" w:rsidRPr="003D6CBE" w:rsidRDefault="003D6CBE" w:rsidP="003D6CBE">
      <w:pPr>
        <w:widowControl w:val="0"/>
        <w:tabs>
          <w:tab w:val="center" w:pos="590"/>
          <w:tab w:val="center" w:pos="1440"/>
          <w:tab w:val="left" w:pos="1872"/>
          <w:tab w:val="left" w:pos="9187"/>
        </w:tabs>
        <w:jc w:val="left"/>
      </w:pPr>
      <w:r w:rsidRPr="003D6CBE">
        <w:rPr>
          <w:u w:val="single"/>
        </w:rPr>
        <w:tab/>
        <w:t>Date</w:t>
      </w:r>
      <w:r w:rsidRPr="003D6CBE">
        <w:rPr>
          <w:u w:val="single"/>
        </w:rPr>
        <w:tab/>
        <w:t>Body</w:t>
      </w:r>
      <w:r w:rsidRPr="003D6CBE">
        <w:rPr>
          <w:u w:val="single"/>
        </w:rPr>
        <w:tab/>
        <w:t>Action Description with journal page number</w:t>
      </w:r>
      <w:r w:rsidRPr="003D6CBE">
        <w:rPr>
          <w:u w:val="single"/>
        </w:rPr>
        <w:tab/>
      </w:r>
    </w:p>
    <w:p w:rsidR="006E6A86" w:rsidRDefault="006E6A86" w:rsidP="006E6A86">
      <w:pPr>
        <w:widowControl w:val="0"/>
        <w:tabs>
          <w:tab w:val="right" w:pos="1008"/>
          <w:tab w:val="left" w:pos="1152"/>
          <w:tab w:val="left" w:pos="1872"/>
          <w:tab w:val="left" w:pos="9187"/>
        </w:tabs>
        <w:ind w:left="2088" w:hanging="2088"/>
        <w:jc w:val="left"/>
      </w:pPr>
      <w:r>
        <w:tab/>
        <w:t>12/12/2018</w:t>
      </w:r>
      <w:r>
        <w:tab/>
        <w:t>Senate</w:t>
      </w:r>
      <w:r>
        <w:tab/>
      </w:r>
      <w:r w:rsidRPr="00F12BBF">
        <w:t>Prefiled</w:t>
      </w:r>
    </w:p>
    <w:p w:rsidR="006E6A86" w:rsidRDefault="006E6A86" w:rsidP="006E6A86">
      <w:pPr>
        <w:widowControl w:val="0"/>
        <w:tabs>
          <w:tab w:val="right" w:pos="1008"/>
          <w:tab w:val="left" w:pos="1152"/>
          <w:tab w:val="left" w:pos="1872"/>
          <w:tab w:val="left" w:pos="9187"/>
        </w:tabs>
        <w:ind w:left="2088" w:hanging="2088"/>
        <w:jc w:val="left"/>
      </w:pPr>
      <w:r>
        <w:tab/>
        <w:t>12/12/2018</w:t>
      </w:r>
      <w:r>
        <w:tab/>
        <w:t>Senate</w:t>
      </w:r>
      <w:r>
        <w:tab/>
      </w:r>
      <w:r w:rsidRPr="00F12BBF">
        <w:t xml:space="preserve">Referred to Committee on </w:t>
      </w:r>
      <w:r w:rsidRPr="00F12BBF">
        <w:rPr>
          <w:b/>
        </w:rPr>
        <w:t>Finance</w:t>
      </w:r>
    </w:p>
    <w:p w:rsidR="006E6A86" w:rsidRDefault="006E6A86" w:rsidP="006E6A86">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F12BBF">
        <w:t>(</w:t>
      </w:r>
      <w:hyperlink r:id="rId7" w:history="1">
        <w:r w:rsidRPr="00F12BBF">
          <w:rPr>
            <w:rStyle w:val="Hyperlink"/>
          </w:rPr>
          <w:t>Senate Journal</w:t>
        </w:r>
        <w:r w:rsidRPr="00F12BBF">
          <w:rPr>
            <w:rStyle w:val="Hyperlink"/>
          </w:rPr>
          <w:noBreakHyphen/>
          <w:t>page 120</w:t>
        </w:r>
      </w:hyperlink>
      <w:r w:rsidRPr="00F12BBF">
        <w:t>)</w:t>
      </w:r>
    </w:p>
    <w:p w:rsidR="006E6A86" w:rsidRDefault="006E6A86" w:rsidP="006E6A86">
      <w:pPr>
        <w:widowControl w:val="0"/>
        <w:tabs>
          <w:tab w:val="right" w:pos="1008"/>
          <w:tab w:val="left" w:pos="1152"/>
          <w:tab w:val="left" w:pos="1872"/>
          <w:tab w:val="left" w:pos="9187"/>
        </w:tabs>
        <w:ind w:left="2088" w:hanging="2088"/>
        <w:jc w:val="left"/>
      </w:pPr>
      <w:r>
        <w:tab/>
        <w:t>1/8/2019</w:t>
      </w:r>
      <w:r>
        <w:tab/>
        <w:t>Senate</w:t>
      </w:r>
      <w:r>
        <w:tab/>
      </w:r>
      <w:r w:rsidRPr="00F12BBF">
        <w:t>Referred to C</w:t>
      </w:r>
      <w:r>
        <w:t xml:space="preserve">ommittee on </w:t>
      </w:r>
      <w:r w:rsidRPr="00F12BBF">
        <w:rPr>
          <w:b/>
        </w:rPr>
        <w:t>Finance</w:t>
      </w:r>
      <w:r>
        <w:t xml:space="preserve"> </w:t>
      </w:r>
      <w:r w:rsidRPr="00F12BBF">
        <w:t>(</w:t>
      </w:r>
      <w:hyperlink r:id="rId8" w:history="1">
        <w:r w:rsidRPr="00F12BBF">
          <w:rPr>
            <w:rStyle w:val="Hyperlink"/>
          </w:rPr>
          <w:t>Senate Journal</w:t>
        </w:r>
        <w:r w:rsidRPr="00F12BBF">
          <w:rPr>
            <w:rStyle w:val="Hyperlink"/>
          </w:rPr>
          <w:noBreakHyphen/>
          <w:t>page 120</w:t>
        </w:r>
      </w:hyperlink>
      <w:r w:rsidRPr="00F12BBF">
        <w:t>)</w:t>
      </w:r>
    </w:p>
    <w:p w:rsidR="006E6A86" w:rsidRDefault="006E6A86" w:rsidP="006E6A86">
      <w:pPr>
        <w:widowControl w:val="0"/>
        <w:tabs>
          <w:tab w:val="right" w:pos="1008"/>
          <w:tab w:val="left" w:pos="1152"/>
          <w:tab w:val="left" w:pos="1872"/>
          <w:tab w:val="left" w:pos="9187"/>
        </w:tabs>
        <w:ind w:left="2088" w:hanging="2088"/>
        <w:jc w:val="left"/>
      </w:pPr>
    </w:p>
    <w:p w:rsidR="003D6CBE" w:rsidRDefault="003D6CBE" w:rsidP="003D6C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D6CBE">
          <w:rPr>
            <w:rStyle w:val="Hyperlink"/>
          </w:rPr>
          <w:t>legislative information</w:t>
        </w:r>
      </w:hyperlink>
      <w:r>
        <w:t xml:space="preserve"> at the website</w:t>
      </w:r>
    </w:p>
    <w:p w:rsidR="003D6CBE" w:rsidRDefault="003D6CBE" w:rsidP="003D6CBE">
      <w:pPr>
        <w:widowControl w:val="0"/>
        <w:tabs>
          <w:tab w:val="right" w:pos="1008"/>
          <w:tab w:val="left" w:pos="1152"/>
          <w:tab w:val="left" w:pos="1872"/>
          <w:tab w:val="left" w:pos="9187"/>
        </w:tabs>
        <w:ind w:left="2088" w:hanging="2088"/>
        <w:jc w:val="left"/>
      </w:pPr>
    </w:p>
    <w:p w:rsidR="003D6CBE" w:rsidRPr="003D6CBE" w:rsidRDefault="003D6CBE" w:rsidP="003D6CBE">
      <w:pPr>
        <w:widowControl w:val="0"/>
        <w:tabs>
          <w:tab w:val="right" w:pos="1008"/>
          <w:tab w:val="left" w:pos="1152"/>
          <w:tab w:val="left" w:pos="1872"/>
          <w:tab w:val="left" w:pos="9187"/>
        </w:tabs>
        <w:ind w:left="2088" w:hanging="2088"/>
        <w:jc w:val="left"/>
      </w:pPr>
    </w:p>
    <w:p w:rsidR="003D6CBE" w:rsidRDefault="003D6CBE" w:rsidP="003D6CBE">
      <w:pPr>
        <w:widowControl w:val="0"/>
        <w:jc w:val="left"/>
      </w:pPr>
      <w:r w:rsidRPr="003D6CBE">
        <w:rPr>
          <w:b/>
        </w:rPr>
        <w:t>VERSIONS OF THIS BILL</w:t>
      </w:r>
    </w:p>
    <w:p w:rsidR="003D6CBE" w:rsidRDefault="003D6CBE" w:rsidP="003D6CBE">
      <w:pPr>
        <w:widowControl w:val="0"/>
        <w:jc w:val="left"/>
      </w:pPr>
    </w:p>
    <w:p w:rsidR="003D6CBE" w:rsidRDefault="007A36E9" w:rsidP="003D6CBE">
      <w:pPr>
        <w:widowControl w:val="0"/>
        <w:jc w:val="left"/>
      </w:pPr>
      <w:hyperlink r:id="rId10" w:history="1">
        <w:r w:rsidR="003D6CBE">
          <w:rPr>
            <w:rStyle w:val="Hyperlink"/>
          </w:rPr>
          <w:t>12/12/2018</w:t>
        </w:r>
      </w:hyperlink>
    </w:p>
    <w:p w:rsidR="003D6CBE" w:rsidRDefault="003D6CBE" w:rsidP="003D6CBE"/>
    <w:p w:rsidR="003D6CBE" w:rsidRDefault="003D6CBE" w:rsidP="003D6CBE">
      <w:pPr>
        <w:sectPr w:rsidR="003D6CBE" w:rsidSect="003D6CBE">
          <w:pgSz w:w="12240" w:h="15840" w:code="1"/>
          <w:pgMar w:top="1080" w:right="1440" w:bottom="1080" w:left="1440" w:header="720" w:footer="720" w:gutter="0"/>
          <w:cols w:space="720"/>
          <w:noEndnote/>
          <w:docGrid w:linePitch="360"/>
        </w:sectPr>
      </w:pPr>
    </w:p>
    <w:p w:rsidR="0047726C" w:rsidRDefault="0047726C"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0A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29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14 TO TITLE 6 SO AS TO ENACT THE “LOCAL OPTION MOTOR FUEL USER FEE ACT”, TO PROVIDE THAT A COUNTY MAY IMPOSE BY ORDINANCE, APPROVED BY REFERENDUM, A USER FEE OF ONE CENT A GALLON ON RETAIL SALES OF MOTOR FUEL FOR THE SOLE PURPOSE OF BEACH RENOURISHMENT WITHIN THE COUNTY, TO PROVIDE THE PROCESS BY WHICH THE USER FEE MAY BE IMPOSED, AND TO PROVIDE THE MANNER IN WHICH THE DEPARTMENT OF REVENUE SHALL COLLECT AND DISTRIBUTE THE USER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0AFA" w:rsidRDefault="00960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0AFA" w:rsidRDefault="00960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92F" w:rsidRDefault="00960AFA"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84292F">
        <w:rPr>
          <w:color w:val="000000" w:themeColor="text1"/>
        </w:rPr>
        <w:t>Title 6 of the 1976 Code is amended by adding:</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14</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Local Option Motor Fuel User Fee</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10.</w:t>
      </w:r>
      <w:r>
        <w:rPr>
          <w:color w:val="000000" w:themeColor="text1"/>
        </w:rPr>
        <w:tab/>
        <w:t>This chapter may be cited as the ‘Local Option Motor Fuel User Fee Act’.</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20.</w:t>
      </w:r>
      <w:r>
        <w:rPr>
          <w:color w:val="000000" w:themeColor="text1"/>
        </w:rPr>
        <w:tab/>
        <w:t>For purposes of this chapter:</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‘Motor fuel’ means: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 xml:space="preserve">all gasoline, gasohol, or blended fuels containing gasoline that are used or consumed for any purpose in this State; and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all diesel fuel, substitute fuels, or alternative fuels, or blended fuels containing diesel fuel that are used or consumed in </w:t>
      </w:r>
      <w:r>
        <w:rPr>
          <w:color w:val="000000" w:themeColor="text1"/>
        </w:rPr>
        <w:lastRenderedPageBreak/>
        <w:t>this State in producing or generating power for propelling motor vehicles.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‘Retail sales’ has the same meaning as provided in Section 12</w:t>
      </w:r>
      <w:r>
        <w:rPr>
          <w:color w:val="000000" w:themeColor="text1"/>
        </w:rPr>
        <w:noBreakHyphen/>
        <w:t>36</w:t>
      </w:r>
      <w:r>
        <w:rPr>
          <w:color w:val="000000" w:themeColor="text1"/>
        </w:rPr>
        <w:noBreakHyphen/>
        <w:t>110.</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30.</w:t>
      </w:r>
      <w:r>
        <w:rPr>
          <w:color w:val="000000" w:themeColor="text1"/>
        </w:rPr>
        <w:tab/>
        <w:t>Subject to the requirements of this chapter, a county may impose by ordinance, approved by referendum, a user fee of one cent a gallon on motor fuel sold at retail for the sole purpose of beach renourishment within the county.</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40.</w:t>
      </w:r>
      <w:r>
        <w:rPr>
          <w:color w:val="000000" w:themeColor="text1"/>
        </w:rPr>
        <w:tab/>
        <w:t>(A)</w:t>
      </w:r>
      <w:r>
        <w:rPr>
          <w:color w:val="000000" w:themeColor="text1"/>
        </w:rPr>
        <w:tab/>
        <w:t xml:space="preserve">The local governing body of the county may vote to impose the user fee authorized by this chapter, subject to a referendum, by enacting an ordinance.  The ordinance must specify: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specific beach renourishment projects for which the proceeds of the user fee are to be used and the total estimated capital costs associated with the projects;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maximum time, stated in calendar years or calendar quarters, or a combination thereof, not to exceed five years, for which the user fee may be imposed; and</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time when the referendum shall be held.  The referendum may be held on the first Tuesday ninety days after the adoption of the ordinance or on the first Tuesday following the first Monday in November of an even</w:t>
      </w:r>
      <w:r>
        <w:rPr>
          <w:color w:val="000000" w:themeColor="text1"/>
        </w:rPr>
        <w:noBreakHyphen/>
        <w:t>numbered year so long as at least ninety days have passed since the adoption of the ordinance.</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  The local governing body of the county also must publish the notice on its website in the same manner.  The local governing body only may give second reading to the ordinance at a meeting for which notice has been given.</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Upon the adoption of an ordinance calling for a referendum, the county election commission shall conduct a referendum at the time specified in the ordinance on the question of implementing the motor fuel user fee within the county.  The state election laws apply to the referendum, mutatis mutandis.  The county election commission shall publish the results of the referendum and certify them to the local governing body.  The user fee must not be imposed in the county unless a majority of the qualified electors voting in the referendum vote in favor of the referendum.</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 xml:space="preserve">The ballot must read substantially as follows: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‘Must a one cent a gallon motor fuel user fee on each gallon of motor fuel sold at retail be levied in __________ County for not more than ______ years for the purpose of beach renourishment projects?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Yes</w:t>
      </w:r>
      <w:r>
        <w:rPr>
          <w:color w:val="000000" w:themeColor="text1"/>
        </w:rPr>
        <w:tab/>
      </w:r>
      <w:r>
        <w:rPr>
          <w:rFonts w:ascii="Wingdings" w:hAnsi="Wingdings"/>
          <w:color w:val="000000" w:themeColor="text1"/>
        </w:rPr>
        <w:t></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No</w:t>
      </w:r>
      <w:r>
        <w:rPr>
          <w:color w:val="000000" w:themeColor="text1"/>
        </w:rPr>
        <w:tab/>
      </w:r>
      <w:r>
        <w:rPr>
          <w:rFonts w:ascii="Wingdings" w:hAnsi="Wingdings"/>
          <w:color w:val="000000" w:themeColor="text1"/>
        </w:rPr>
        <w:t></w:t>
      </w:r>
      <w:r>
        <w:rPr>
          <w:color w:val="000000" w:themeColor="text1"/>
        </w:rPr>
        <w:t>’</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the question is not approved at the initial referendum, the local governing body of the county may, by an ordinance meeting the requirements of this section, call for another referendum on the question.  However, following the initial referendum, a referendum for this purpose must not be held more often than once in a twenty</w:t>
      </w:r>
      <w:r>
        <w:rPr>
          <w:color w:val="000000" w:themeColor="text1"/>
        </w:rPr>
        <w:noBreakHyphen/>
        <w:t>four month period on the Tuesday following the first Monday in November in even</w:t>
      </w:r>
      <w:r>
        <w:rPr>
          <w:color w:val="000000" w:themeColor="text1"/>
        </w:rPr>
        <w:noBreakHyphen/>
        <w:t>numbered years.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Once a week for the four weeks immediately preceding the referendum, the local governing body of the county shall publish notice in a newspaper of general circulation within the jurisdiction a description of and the specific uses for the user fee.  The local governing body must also publish notice on its website in the same manner.</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  The department shall accept for filing a certified copy of an ordinance and referendum results reducing or repealing the user fee and that reduction or repeal applies in the manner provided in subsection (D) for imposition.</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Pursuant to Section 6</w:t>
      </w:r>
      <w:r>
        <w:rPr>
          <w:color w:val="000000" w:themeColor="text1"/>
        </w:rPr>
        <w:noBreakHyphen/>
        <w:t>14</w:t>
      </w:r>
      <w:r>
        <w:rPr>
          <w:color w:val="000000" w:themeColor="text1"/>
        </w:rPr>
        <w:noBreakHyphen/>
        <w:t>50(C), revenues collected pursuant to the imposition of the user fee must be used only for the purpose stated in the imposition ordinance.</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50.</w:t>
      </w:r>
      <w:r>
        <w:rPr>
          <w:color w:val="000000" w:themeColor="text1"/>
        </w:rPr>
        <w:tab/>
        <w:t>(A)</w:t>
      </w:r>
      <w:r>
        <w:rPr>
          <w:color w:val="000000" w:themeColor="text1"/>
        </w:rPr>
        <w:tab/>
        <w:t>The user fee imposed pursuant to this chapter must be administered and collected by the Department of Revenue in the same manner that sales and use tax are collected.  The department may prescribe amounts that may be added to the sales price because of the user fee.  The sales tax return shall contain a line reporting gallons of gasoline sold for the purpose of calculating the user fee.  Every establishment selling gasoline at retail in a jurisdiction imposing the user fee shall obtain a retail sales license.</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When the local motor fuel user fee is imposed for more than one project, the local governing body authorizing the referendum for the user fee shall determine the priority for the expenditure of the net proceeds of the user fee for the purposes stated in the referendum.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revenues of the user fee collected in each county pursuant to this chapter must be remitted to the State Treasurer and credited to a fund separate and distinct from the general fund of the State.  After deducting the amount of refunds made and costs to the Department of Revenue of administering the user fee, not to exceed one percent of the revenues, the State Treasurer shall distribute the revenues quarterly to the county in which the user fee is imposed.  These revenues must be used only for the purpose stated in the imposition ordinance.  The State Treasurer may correct misallocation costs or refunds by adjusting subsequent distributions, but these adjustments must be made in the same fiscal year as the misallocation.</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60.</w:t>
      </w:r>
      <w:r>
        <w:rPr>
          <w:color w:val="000000" w:themeColor="text1"/>
        </w:rPr>
        <w:tab/>
        <w:t>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Pr>
          <w:color w:val="000000" w:themeColor="text1"/>
        </w:rPr>
        <w:noBreakHyphen/>
        <w:t>54</w:t>
      </w:r>
      <w:r>
        <w:rPr>
          <w:color w:val="000000" w:themeColor="text1"/>
        </w:rPr>
        <w:noBreakHyphen/>
        <w:t>240.  A person violating this section is subject to the penalties provided in Section 12</w:t>
      </w:r>
      <w:r>
        <w:rPr>
          <w:color w:val="000000" w:themeColor="text1"/>
        </w:rPr>
        <w:noBreakHyphen/>
        <w:t>54</w:t>
      </w:r>
      <w:r>
        <w:rPr>
          <w:color w:val="000000" w:themeColor="text1"/>
        </w:rPr>
        <w:noBreakHyphen/>
        <w:t>240.</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60AFA"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6</w:t>
      </w:r>
      <w:r>
        <w:rPr>
          <w:color w:val="000000" w:themeColor="text1"/>
        </w:rPr>
        <w:noBreakHyphen/>
        <w:t>14</w:t>
      </w:r>
      <w:r>
        <w:rPr>
          <w:color w:val="000000" w:themeColor="text1"/>
        </w:rPr>
        <w:noBreakHyphen/>
        <w:t>70.</w:t>
      </w:r>
      <w:r>
        <w:rPr>
          <w:color w:val="000000" w:themeColor="text1"/>
        </w:rPr>
        <w:tab/>
        <w:t xml:space="preserve">The Department of Revenue may promulgate regulations necessary to implement this chapter.” </w:t>
      </w:r>
    </w:p>
    <w:p w:rsidR="00960AFA" w:rsidRDefault="00960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AFA" w:rsidRDefault="00960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292F">
        <w:t>2</w:t>
      </w:r>
      <w:r>
        <w:t>.</w:t>
      </w:r>
      <w:r>
        <w:tab/>
        <w:t>This act takes effect upon approval by the Governor.</w:t>
      </w:r>
    </w:p>
    <w:p w:rsidR="000549C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6CBE" w:rsidRDefault="003D6CBE" w:rsidP="003D6CBE">
      <w:pPr>
        <w:suppressAutoHyphens/>
      </w:pPr>
    </w:p>
    <w:sectPr w:rsidR="003D6CBE" w:rsidSect="003D6C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AFA" w:rsidRDefault="00960AFA" w:rsidP="009F0C77">
      <w:r>
        <w:separator/>
      </w:r>
    </w:p>
  </w:endnote>
  <w:endnote w:type="continuationSeparator" w:id="0">
    <w:p w:rsidR="00960AFA" w:rsidRDefault="00960A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FCEAA1-8384-490F-9742-787D98835BF2}"/>
    <w:embedBold r:id="rId2" w:fontKey="{E97BC606-1E45-4D44-BD07-08454EE99082}"/>
  </w:font>
  <w:font w:name="Calibri">
    <w:panose1 w:val="020F0502020204030204"/>
    <w:charset w:val="00"/>
    <w:family w:val="swiss"/>
    <w:pitch w:val="variable"/>
    <w:sig w:usb0="E00002FF" w:usb1="4000ACFF" w:usb2="00000001" w:usb3="00000000" w:csb0="0000019F" w:csb1="00000000"/>
    <w:embedRegular r:id="rId3" w:fontKey="{A425EBDA-84C1-49D5-9D35-43C65A5F253E}"/>
  </w:font>
  <w:font w:name="Wingdings">
    <w:panose1 w:val="05000000000000000000"/>
    <w:charset w:val="02"/>
    <w:family w:val="auto"/>
    <w:pitch w:val="variable"/>
    <w:sig w:usb0="00000000" w:usb1="10000000" w:usb2="00000000" w:usb3="00000000" w:csb0="80000000" w:csb1="00000000"/>
    <w:embedRegular r:id="rId4" w:fontKey="{2AFC055D-3903-49CF-BD6C-6C71555CD9FD}"/>
  </w:font>
  <w:font w:name="Cambria">
    <w:panose1 w:val="02040503050406030204"/>
    <w:charset w:val="00"/>
    <w:family w:val="roman"/>
    <w:pitch w:val="variable"/>
    <w:sig w:usb0="E00002FF" w:usb1="400004FF" w:usb2="00000000" w:usb3="00000000" w:csb0="0000019F" w:csb1="00000000"/>
    <w:embedRegular r:id="rId5" w:fontKey="{287A7E29-9B86-411F-90A6-3C09756B1F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CBE" w:rsidRPr="0047726C" w:rsidRDefault="003D6CBE" w:rsidP="0047726C">
    <w:pPr>
      <w:pStyle w:val="Footer"/>
      <w:tabs>
        <w:tab w:val="clear" w:pos="4680"/>
        <w:tab w:val="clear" w:pos="9360"/>
        <w:tab w:val="center" w:pos="2995"/>
      </w:tabs>
      <w:spacing w:before="120"/>
    </w:pPr>
    <w:r>
      <w:t>[172]</w:t>
    </w:r>
    <w:r>
      <w:tab/>
    </w:r>
    <w:r>
      <w:fldChar w:fldCharType="begin"/>
    </w:r>
    <w:r>
      <w:instrText xml:space="preserve"> PAGE  \* MERGEFORMAT </w:instrText>
    </w:r>
    <w:r>
      <w:fldChar w:fldCharType="separate"/>
    </w:r>
    <w:r w:rsidR="009945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AFA" w:rsidRDefault="00960AFA" w:rsidP="009F0C77">
      <w:r>
        <w:separator/>
      </w:r>
    </w:p>
  </w:footnote>
  <w:footnote w:type="continuationSeparator" w:id="0">
    <w:p w:rsidR="00960AFA" w:rsidRDefault="00960A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44DG19"/>
    <w:docVar w:name="CoverBillType" w:val="b"/>
    <w:docVar w:name="DocPath" w:val="L:\Council\bills\BBM\1044DG19.DOCX"/>
    <w:docVar w:name="dvBillNumber" w:val="172"/>
    <w:docVar w:name="dvBillNumberPrefix" w:val="S. "/>
    <w:docVar w:name="dvOriginalBody" w:val="Senate"/>
    <w:docVar w:name="dvSteno" w:val="BBM"/>
    <w:docVar w:name="NameofBody" w:val="s"/>
    <w:docVar w:name="vGroup2" w:val="Council"/>
  </w:docVars>
  <w:rsids>
    <w:rsidRoot w:val="00960AFA"/>
    <w:rsid w:val="000263D9"/>
    <w:rsid w:val="00026C9A"/>
    <w:rsid w:val="00034EB1"/>
    <w:rsid w:val="000549C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6CBE"/>
    <w:rsid w:val="003E3C1E"/>
    <w:rsid w:val="003E6148"/>
    <w:rsid w:val="003E7D04"/>
    <w:rsid w:val="00400EAA"/>
    <w:rsid w:val="0041760A"/>
    <w:rsid w:val="004203D7"/>
    <w:rsid w:val="0047726C"/>
    <w:rsid w:val="004809EE"/>
    <w:rsid w:val="004B2A8B"/>
    <w:rsid w:val="00511EE9"/>
    <w:rsid w:val="00521E00"/>
    <w:rsid w:val="00577C6C"/>
    <w:rsid w:val="0058501B"/>
    <w:rsid w:val="005C5AC4"/>
    <w:rsid w:val="0061228A"/>
    <w:rsid w:val="006215AA"/>
    <w:rsid w:val="006340D9"/>
    <w:rsid w:val="0064279D"/>
    <w:rsid w:val="00643B8E"/>
    <w:rsid w:val="00653ECC"/>
    <w:rsid w:val="00665EBC"/>
    <w:rsid w:val="00680479"/>
    <w:rsid w:val="0069470D"/>
    <w:rsid w:val="006A476C"/>
    <w:rsid w:val="006C6A93"/>
    <w:rsid w:val="006E02F9"/>
    <w:rsid w:val="006E4247"/>
    <w:rsid w:val="006E6A86"/>
    <w:rsid w:val="006F3F76"/>
    <w:rsid w:val="0071178F"/>
    <w:rsid w:val="00753C04"/>
    <w:rsid w:val="00756946"/>
    <w:rsid w:val="00757F80"/>
    <w:rsid w:val="00771EEC"/>
    <w:rsid w:val="00786819"/>
    <w:rsid w:val="007A325A"/>
    <w:rsid w:val="007C3099"/>
    <w:rsid w:val="007E72BE"/>
    <w:rsid w:val="007F1523"/>
    <w:rsid w:val="007F509E"/>
    <w:rsid w:val="007F5799"/>
    <w:rsid w:val="007F6947"/>
    <w:rsid w:val="00834A12"/>
    <w:rsid w:val="0084292F"/>
    <w:rsid w:val="00872729"/>
    <w:rsid w:val="008F4429"/>
    <w:rsid w:val="00932670"/>
    <w:rsid w:val="009352BB"/>
    <w:rsid w:val="00960AFA"/>
    <w:rsid w:val="00990668"/>
    <w:rsid w:val="009945FE"/>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C8E"/>
    <w:rsid w:val="00DE68F0"/>
    <w:rsid w:val="00DF3845"/>
    <w:rsid w:val="00DF7E17"/>
    <w:rsid w:val="00E51D8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A34B9-7CE9-4ABD-926A-66582376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D6C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72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EC33D-B9AA-4C59-97CF-DE506AAF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1442</Words>
  <Characters>7217</Characters>
  <Application>Microsoft Office Word</Application>
  <DocSecurity>0</DocSecurity>
  <Lines>201</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172: Local Option Motor Fuel User Fee Act - South Carolina Legislature Online</dc:title>
  <dc:subject/>
  <dc:creator>BRENDA MELTON</dc:creator>
  <cp:keywords/>
  <dc:description/>
  <cp:lastModifiedBy>S Volk</cp:lastModifiedBy>
  <cp:revision>2</cp:revision>
  <cp:lastPrinted>2018-12-10T14:24:00Z</cp:lastPrinted>
  <dcterms:created xsi:type="dcterms:W3CDTF">2019-01-16T18:15:00Z</dcterms:created>
  <dcterms:modified xsi:type="dcterms:W3CDTF">2019-01-16T18:15:00Z</dcterms:modified>
</cp:coreProperties>
</file>