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5B3" w:rsidRDefault="003525B3" w:rsidP="003525B3">
      <w:pPr>
        <w:widowControl w:val="0"/>
        <w:jc w:val="center"/>
      </w:pPr>
      <w:r w:rsidRPr="003525B3">
        <w:rPr>
          <w:b/>
        </w:rPr>
        <w:t>South Carolina General Assembly</w:t>
      </w:r>
    </w:p>
    <w:p w:rsidR="003525B3" w:rsidRDefault="003525B3" w:rsidP="003525B3">
      <w:pPr>
        <w:widowControl w:val="0"/>
        <w:jc w:val="center"/>
      </w:pPr>
      <w:r>
        <w:t>123rd Session, 2019-2020</w:t>
      </w:r>
    </w:p>
    <w:p w:rsidR="003525B3" w:rsidRDefault="003525B3" w:rsidP="003525B3">
      <w:pPr>
        <w:widowControl w:val="0"/>
      </w:pPr>
    </w:p>
    <w:p w:rsidR="003525B3" w:rsidRDefault="003525B3" w:rsidP="003525B3">
      <w:pPr>
        <w:widowControl w:val="0"/>
        <w:rPr>
          <w:b/>
        </w:rPr>
      </w:pPr>
      <w:r w:rsidRPr="003525B3">
        <w:rPr>
          <w:b/>
        </w:rPr>
        <w:t>S.</w:t>
      </w:r>
      <w:r>
        <w:rPr>
          <w:b/>
        </w:rPr>
        <w:t xml:space="preserve"> </w:t>
      </w:r>
      <w:r w:rsidRPr="003525B3">
        <w:rPr>
          <w:b/>
        </w:rPr>
        <w:t>302</w:t>
      </w:r>
    </w:p>
    <w:p w:rsidR="003525B3" w:rsidRDefault="003525B3" w:rsidP="003525B3">
      <w:pPr>
        <w:widowControl w:val="0"/>
        <w:rPr>
          <w:b/>
        </w:rPr>
      </w:pPr>
    </w:p>
    <w:p w:rsidR="003525B3" w:rsidRDefault="003525B3" w:rsidP="003525B3">
      <w:pPr>
        <w:widowControl w:val="0"/>
      </w:pPr>
      <w:r w:rsidRPr="003525B3">
        <w:rPr>
          <w:b/>
        </w:rPr>
        <w:t>STATUS INFORMATION</w:t>
      </w:r>
    </w:p>
    <w:p w:rsidR="003525B3" w:rsidRDefault="003525B3" w:rsidP="003525B3">
      <w:pPr>
        <w:widowControl w:val="0"/>
      </w:pPr>
    </w:p>
    <w:p w:rsidR="003525B3" w:rsidRDefault="003525B3" w:rsidP="003525B3">
      <w:pPr>
        <w:widowControl w:val="0"/>
      </w:pPr>
      <w:r>
        <w:t>General Bill</w:t>
      </w:r>
    </w:p>
    <w:p w:rsidR="003525B3" w:rsidRDefault="003525B3" w:rsidP="003525B3">
      <w:pPr>
        <w:widowControl w:val="0"/>
      </w:pPr>
      <w:r>
        <w:t>Sponsors: Senator Hutto</w:t>
      </w:r>
    </w:p>
    <w:p w:rsidR="003525B3" w:rsidRDefault="003525B3" w:rsidP="003525B3">
      <w:pPr>
        <w:widowControl w:val="0"/>
      </w:pPr>
      <w:r>
        <w:t>Document Path: l:\s-jud\bills\hutto\jud0022.jcv.docx</w:t>
      </w:r>
    </w:p>
    <w:p w:rsidR="003525B3" w:rsidRDefault="003525B3" w:rsidP="003525B3">
      <w:pPr>
        <w:widowControl w:val="0"/>
      </w:pPr>
    </w:p>
    <w:p w:rsidR="003525B3" w:rsidRDefault="003525B3" w:rsidP="003525B3">
      <w:pPr>
        <w:widowControl w:val="0"/>
      </w:pPr>
      <w:r>
        <w:t>Introduced in the Senate on January 8, 2019</w:t>
      </w:r>
    </w:p>
    <w:p w:rsidR="003525B3" w:rsidRDefault="003525B3" w:rsidP="003525B3">
      <w:pPr>
        <w:widowControl w:val="0"/>
      </w:pPr>
      <w:r>
        <w:t xml:space="preserve">Currently residing in the Senate Committee on </w:t>
      </w:r>
      <w:r w:rsidRPr="003525B3">
        <w:rPr>
          <w:b/>
        </w:rPr>
        <w:t>Judiciary</w:t>
      </w:r>
    </w:p>
    <w:p w:rsidR="003525B3" w:rsidRDefault="003525B3" w:rsidP="003525B3">
      <w:pPr>
        <w:widowControl w:val="0"/>
      </w:pPr>
    </w:p>
    <w:p w:rsidR="003525B3" w:rsidRDefault="003525B3" w:rsidP="003525B3">
      <w:pPr>
        <w:widowControl w:val="0"/>
      </w:pPr>
      <w:r>
        <w:t xml:space="preserve">Summary: </w:t>
      </w:r>
      <w:r w:rsidR="00555187">
        <w:t>Expungement</w:t>
      </w:r>
    </w:p>
    <w:p w:rsidR="003525B3" w:rsidRDefault="003525B3" w:rsidP="003525B3">
      <w:pPr>
        <w:widowControl w:val="0"/>
      </w:pPr>
    </w:p>
    <w:p w:rsidR="003525B3" w:rsidRDefault="003525B3" w:rsidP="003525B3">
      <w:pPr>
        <w:widowControl w:val="0"/>
      </w:pPr>
    </w:p>
    <w:p w:rsidR="003525B3" w:rsidRDefault="003525B3" w:rsidP="003525B3">
      <w:pPr>
        <w:widowControl w:val="0"/>
        <w:tabs>
          <w:tab w:val="center" w:pos="590"/>
          <w:tab w:val="center" w:pos="1440"/>
          <w:tab w:val="left" w:pos="1872"/>
          <w:tab w:val="left" w:pos="9187"/>
        </w:tabs>
      </w:pPr>
      <w:r w:rsidRPr="003525B3">
        <w:rPr>
          <w:b/>
        </w:rPr>
        <w:t>HISTORY OF LEGISLATIVE ACTIONS</w:t>
      </w:r>
    </w:p>
    <w:p w:rsidR="003525B3" w:rsidRDefault="003525B3" w:rsidP="003525B3">
      <w:pPr>
        <w:widowControl w:val="0"/>
        <w:tabs>
          <w:tab w:val="center" w:pos="590"/>
          <w:tab w:val="center" w:pos="1440"/>
          <w:tab w:val="left" w:pos="1872"/>
          <w:tab w:val="left" w:pos="9187"/>
        </w:tabs>
      </w:pPr>
    </w:p>
    <w:p w:rsidR="003525B3" w:rsidRPr="003525B3" w:rsidRDefault="003525B3" w:rsidP="003525B3">
      <w:pPr>
        <w:widowControl w:val="0"/>
        <w:tabs>
          <w:tab w:val="center" w:pos="590"/>
          <w:tab w:val="center" w:pos="1440"/>
          <w:tab w:val="left" w:pos="1872"/>
          <w:tab w:val="left" w:pos="9187"/>
        </w:tabs>
      </w:pPr>
      <w:r w:rsidRPr="003525B3">
        <w:rPr>
          <w:u w:val="single"/>
        </w:rPr>
        <w:tab/>
        <w:t>Date</w:t>
      </w:r>
      <w:r w:rsidRPr="003525B3">
        <w:rPr>
          <w:u w:val="single"/>
        </w:rPr>
        <w:tab/>
        <w:t>Body</w:t>
      </w:r>
      <w:r w:rsidRPr="003525B3">
        <w:rPr>
          <w:u w:val="single"/>
        </w:rPr>
        <w:tab/>
        <w:t>Action Description with journal page number</w:t>
      </w:r>
      <w:r w:rsidRPr="003525B3">
        <w:rPr>
          <w:u w:val="single"/>
        </w:rPr>
        <w:tab/>
      </w:r>
    </w:p>
    <w:p w:rsidR="00AD1CE8" w:rsidRDefault="00AD1CE8" w:rsidP="00AD1CE8">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0C6E22">
        <w:t>(</w:t>
      </w:r>
      <w:hyperlink r:id="rId6" w:history="1">
        <w:r w:rsidRPr="000C6E22">
          <w:rPr>
            <w:rStyle w:val="Hyperlink"/>
          </w:rPr>
          <w:t>Senate Journal</w:t>
        </w:r>
        <w:r w:rsidRPr="000C6E22">
          <w:rPr>
            <w:rStyle w:val="Hyperlink"/>
          </w:rPr>
          <w:noBreakHyphen/>
          <w:t>page 175</w:t>
        </w:r>
      </w:hyperlink>
      <w:r w:rsidRPr="000C6E22">
        <w:t>)</w:t>
      </w:r>
    </w:p>
    <w:p w:rsidR="00AD1CE8" w:rsidRDefault="00AD1CE8" w:rsidP="00AD1CE8">
      <w:pPr>
        <w:widowControl w:val="0"/>
        <w:tabs>
          <w:tab w:val="right" w:pos="1008"/>
          <w:tab w:val="left" w:pos="1152"/>
          <w:tab w:val="left" w:pos="1872"/>
          <w:tab w:val="left" w:pos="9187"/>
        </w:tabs>
        <w:ind w:left="2088" w:hanging="2088"/>
      </w:pPr>
      <w:r>
        <w:tab/>
        <w:t>1/8/2019</w:t>
      </w:r>
      <w:r>
        <w:tab/>
        <w:t>Senate</w:t>
      </w:r>
      <w:r>
        <w:tab/>
      </w:r>
      <w:r w:rsidRPr="000C6E22">
        <w:t>Ref</w:t>
      </w:r>
      <w:r>
        <w:t xml:space="preserve">erred to Committee on </w:t>
      </w:r>
      <w:r w:rsidRPr="000C6E22">
        <w:rPr>
          <w:b/>
        </w:rPr>
        <w:t>Judiciary</w:t>
      </w:r>
      <w:r>
        <w:t xml:space="preserve"> </w:t>
      </w:r>
      <w:r w:rsidRPr="000C6E22">
        <w:t>(</w:t>
      </w:r>
      <w:hyperlink r:id="rId7" w:history="1">
        <w:r w:rsidRPr="000C6E22">
          <w:rPr>
            <w:rStyle w:val="Hyperlink"/>
          </w:rPr>
          <w:t>Senate Journal</w:t>
        </w:r>
        <w:r w:rsidRPr="000C6E22">
          <w:rPr>
            <w:rStyle w:val="Hyperlink"/>
          </w:rPr>
          <w:noBreakHyphen/>
          <w:t>page 175</w:t>
        </w:r>
      </w:hyperlink>
      <w:r w:rsidRPr="000C6E22">
        <w:t>)</w:t>
      </w:r>
    </w:p>
    <w:p w:rsidR="00AD1CE8" w:rsidRDefault="00AD1CE8" w:rsidP="00AD1CE8">
      <w:pPr>
        <w:widowControl w:val="0"/>
        <w:tabs>
          <w:tab w:val="right" w:pos="1008"/>
          <w:tab w:val="left" w:pos="1152"/>
          <w:tab w:val="left" w:pos="1872"/>
          <w:tab w:val="left" w:pos="9187"/>
        </w:tabs>
        <w:ind w:left="2088" w:hanging="2088"/>
      </w:pPr>
      <w:r>
        <w:tab/>
        <w:t>1/9/2019</w:t>
      </w:r>
      <w:r>
        <w:tab/>
        <w:t>Senate</w:t>
      </w:r>
      <w:r>
        <w:tab/>
      </w:r>
      <w:r w:rsidRPr="000C6E22">
        <w:t>Referred to Subcommittee:  Hutto (ch), Shealy, Young</w:t>
      </w:r>
    </w:p>
    <w:p w:rsidR="00AD1CE8" w:rsidRDefault="00AD1CE8" w:rsidP="00AD1CE8">
      <w:pPr>
        <w:widowControl w:val="0"/>
        <w:tabs>
          <w:tab w:val="right" w:pos="1008"/>
          <w:tab w:val="left" w:pos="1152"/>
          <w:tab w:val="left" w:pos="1872"/>
          <w:tab w:val="left" w:pos="9187"/>
        </w:tabs>
        <w:ind w:left="2088" w:hanging="2088"/>
      </w:pPr>
    </w:p>
    <w:p w:rsidR="003525B3" w:rsidRDefault="003525B3" w:rsidP="003525B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525B3">
          <w:rPr>
            <w:rStyle w:val="Hyperlink"/>
          </w:rPr>
          <w:t>legislative information</w:t>
        </w:r>
      </w:hyperlink>
      <w:r>
        <w:t xml:space="preserve"> at the website</w:t>
      </w:r>
    </w:p>
    <w:p w:rsidR="003525B3" w:rsidRDefault="003525B3" w:rsidP="003525B3">
      <w:pPr>
        <w:widowControl w:val="0"/>
        <w:tabs>
          <w:tab w:val="right" w:pos="1008"/>
          <w:tab w:val="left" w:pos="1152"/>
          <w:tab w:val="left" w:pos="1872"/>
          <w:tab w:val="left" w:pos="9187"/>
        </w:tabs>
        <w:ind w:left="2088" w:hanging="2088"/>
      </w:pPr>
    </w:p>
    <w:p w:rsidR="003525B3" w:rsidRPr="003525B3" w:rsidRDefault="003525B3" w:rsidP="003525B3">
      <w:pPr>
        <w:widowControl w:val="0"/>
        <w:tabs>
          <w:tab w:val="right" w:pos="1008"/>
          <w:tab w:val="left" w:pos="1152"/>
          <w:tab w:val="left" w:pos="1872"/>
          <w:tab w:val="left" w:pos="9187"/>
        </w:tabs>
        <w:ind w:left="2088" w:hanging="2088"/>
      </w:pPr>
    </w:p>
    <w:p w:rsidR="003525B3" w:rsidRDefault="003525B3" w:rsidP="003525B3">
      <w:pPr>
        <w:widowControl w:val="0"/>
      </w:pPr>
      <w:r w:rsidRPr="003525B3">
        <w:rPr>
          <w:b/>
        </w:rPr>
        <w:t>VERSIONS OF THIS BILL</w:t>
      </w:r>
    </w:p>
    <w:p w:rsidR="003525B3" w:rsidRDefault="003525B3" w:rsidP="003525B3">
      <w:pPr>
        <w:widowControl w:val="0"/>
      </w:pPr>
    </w:p>
    <w:p w:rsidR="003525B3" w:rsidRDefault="00BB4752" w:rsidP="003525B3">
      <w:pPr>
        <w:widowControl w:val="0"/>
      </w:pPr>
      <w:hyperlink r:id="rId9" w:history="1">
        <w:r w:rsidR="003525B3">
          <w:rPr>
            <w:rStyle w:val="Hyperlink"/>
          </w:rPr>
          <w:t>1/8/2019</w:t>
        </w:r>
      </w:hyperlink>
    </w:p>
    <w:p w:rsidR="003525B3" w:rsidRDefault="003525B3" w:rsidP="003525B3"/>
    <w:p w:rsidR="003525B3" w:rsidRDefault="003525B3" w:rsidP="003525B3">
      <w:pPr>
        <w:sectPr w:rsidR="003525B3" w:rsidSect="003525B3">
          <w:pgSz w:w="12240" w:h="15840" w:code="1"/>
          <w:pgMar w:top="1080" w:right="1440" w:bottom="1080" w:left="1440" w:header="720" w:footer="720" w:gutter="0"/>
          <w:cols w:space="720"/>
          <w:noEndnote/>
          <w:docGrid w:linePitch="360"/>
        </w:sectPr>
      </w:pPr>
    </w:p>
    <w:p w:rsidR="008077E1" w:rsidRDefault="008077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Default="00894C18" w:rsidP="0080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A2FED" w:rsidRPr="005D2ACE" w:rsidRDefault="00EA2FED" w:rsidP="0080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rPr>
      </w:pPr>
    </w:p>
    <w:p w:rsidR="00EA2FED" w:rsidRPr="00522CE0" w:rsidRDefault="0047766E" w:rsidP="0047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77E6">
        <w:rPr>
          <w:rFonts w:eastAsia="Times New Roman"/>
        </w:rPr>
        <w:t>TO AMEND SECTION 22</w:t>
      </w:r>
      <w:r w:rsidRPr="002977E6">
        <w:rPr>
          <w:rFonts w:eastAsia="Times New Roman"/>
        </w:rPr>
        <w:noBreakHyphen/>
        <w:t>5</w:t>
      </w:r>
      <w:r w:rsidRPr="002977E6">
        <w:rPr>
          <w:rFonts w:eastAsia="Times New Roman"/>
        </w:rPr>
        <w:noBreakHyphen/>
        <w:t>910</w:t>
      </w:r>
      <w:r>
        <w:rPr>
          <w:rFonts w:eastAsia="Times New Roman"/>
        </w:rPr>
        <w:t>(F)</w:t>
      </w:r>
      <w:r w:rsidRPr="002977E6">
        <w:rPr>
          <w:rFonts w:eastAsia="Times New Roman"/>
        </w:rPr>
        <w:t>, CODE OF LAWS OF SOUTH CAROLINA, 1976, RELATING TO APPLICATIONS FOR THE EXPUNGEMENT OF CRIMINAL RECORDS FOR CERTAIN OFFENSES, SO AS TO PROVIDE FOR ELIGIBILITY FOR EXPUNGEMENT EVEN WHEN A PERSON HAS HAD A PRIOR OFFENSE EXPUNGED PURSUANT TO SECTION 34</w:t>
      </w:r>
      <w:r w:rsidRPr="002977E6">
        <w:rPr>
          <w:rFonts w:eastAsia="Times New Roman"/>
        </w:rPr>
        <w:noBreakHyphen/>
        <w:t>11</w:t>
      </w:r>
      <w:r w:rsidRPr="002977E6">
        <w:rPr>
          <w:rFonts w:eastAsia="Times New Roman"/>
        </w:rPr>
        <w:noBreakHyphen/>
        <w:t>90; AND TO AMEND SECTION 34</w:t>
      </w:r>
      <w:r w:rsidRPr="002977E6">
        <w:rPr>
          <w:rFonts w:eastAsia="Times New Roman"/>
        </w:rPr>
        <w:noBreakHyphen/>
        <w:t>11</w:t>
      </w:r>
      <w:r w:rsidRPr="002977E6">
        <w:rPr>
          <w:rFonts w:eastAsia="Times New Roman"/>
        </w:rPr>
        <w:noBreakHyphen/>
        <w:t>90</w:t>
      </w:r>
      <w:r>
        <w:rPr>
          <w:rFonts w:eastAsia="Times New Roman"/>
        </w:rPr>
        <w:t>(e)</w:t>
      </w:r>
      <w:r w:rsidRPr="002977E6">
        <w:rPr>
          <w:rFonts w:eastAsia="Times New Roman"/>
        </w:rPr>
        <w:t>, RELATING TO JURISDICTION OF OFFENSES AND PENALTIES CONCERNING BANK DEPOSITS, SO AS TO PROVIDE FOR ELIGIBILITY FOR EXPUNGEMENT EVEN WHEN A PERSON HAS HAD A PRIOR OFFENSE EXPUNGED PURSUANT TO SECTION 22</w:t>
      </w:r>
      <w:r w:rsidRPr="002977E6">
        <w:rPr>
          <w:rFonts w:eastAsia="Times New Roman"/>
        </w:rPr>
        <w:noBreakHyphen/>
        <w:t>5</w:t>
      </w:r>
      <w:r w:rsidRPr="002977E6">
        <w:rPr>
          <w:rFonts w:eastAsia="Times New Roman"/>
        </w:rPr>
        <w:noBreakHyphen/>
        <w:t>910.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EA2FED">
        <w:rPr>
          <w:rFonts w:eastAsia="Times New Roman"/>
        </w:rPr>
        <w:tab/>
      </w:r>
      <w:r w:rsidR="00636532" w:rsidRPr="00636532">
        <w:rPr>
          <w:rFonts w:eastAsia="Times New Roman"/>
          <w:color w:val="000000" w:themeColor="text1"/>
          <w:u w:color="000000" w:themeColor="text1"/>
        </w:rPr>
        <w:t>Section 22-5-910(F)</w:t>
      </w:r>
      <w:r w:rsidR="00894C18" w:rsidRPr="00636532">
        <w:rPr>
          <w:rFonts w:eastAsia="Times New Roman"/>
          <w:color w:val="000000" w:themeColor="text1"/>
          <w:u w:color="000000" w:themeColor="text1"/>
        </w:rPr>
        <w:t xml:space="preserve"> of the 1976 Code is</w:t>
      </w:r>
      <w:r w:rsidR="00894C18" w:rsidRPr="0030325C">
        <w:rPr>
          <w:rFonts w:eastAsia="Times New Roman"/>
          <w:color w:val="000000" w:themeColor="text1"/>
          <w:u w:color="000000" w:themeColor="text1"/>
        </w:rPr>
        <w:t xml:space="preserve"> amended to read:</w:t>
      </w: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91FDB">
        <w:t>(F)</w:t>
      </w:r>
      <w:r w:rsidR="0047766E">
        <w:tab/>
      </w:r>
      <w:r w:rsidRPr="00B91FDB">
        <w:t>No person may have the person’s record expunged under this section if the person has pending criminal charges of any kind unless the charges have been pending for more than five years; however, this five</w:t>
      </w:r>
      <w:r w:rsidRPr="00B91FDB">
        <w:noBreakHyphen/>
        <w:t>year time period is tolled for any time the defendant has been under a bench warrant for failure to appear. No person may have the person’s records expunged under this section more than once</w:t>
      </w:r>
      <w:r>
        <w:t xml:space="preserve"> </w:t>
      </w:r>
      <w:r w:rsidRPr="0030325C">
        <w:rPr>
          <w:rFonts w:eastAsia="Times New Roman"/>
          <w:color w:val="000000" w:themeColor="text1"/>
          <w:szCs w:val="24"/>
          <w:u w:val="single" w:color="000000" w:themeColor="text1"/>
        </w:rPr>
        <w:t>except that a person who has a prior expungement pursuant to Section 34</w:t>
      </w:r>
      <w:r w:rsidRPr="0030325C">
        <w:rPr>
          <w:rFonts w:eastAsia="Times New Roman"/>
          <w:color w:val="000000" w:themeColor="text1"/>
          <w:szCs w:val="24"/>
          <w:u w:val="single" w:color="000000" w:themeColor="text1"/>
        </w:rPr>
        <w:noBreakHyphen/>
        <w:t>11</w:t>
      </w:r>
      <w:r w:rsidRPr="0030325C">
        <w:rPr>
          <w:rFonts w:eastAsia="Times New Roman"/>
          <w:color w:val="000000" w:themeColor="text1"/>
          <w:szCs w:val="24"/>
          <w:u w:val="single" w:color="000000" w:themeColor="text1"/>
        </w:rPr>
        <w:noBreakHyphen/>
        <w:t>90(e) may still have an expungement under this section</w:t>
      </w:r>
      <w:r w:rsidRPr="00B91FDB">
        <w:t>. A person may have the person’s record expunged even though the conviction occurred before the effective date of this section.</w:t>
      </w:r>
      <w:r>
        <w:t>”</w:t>
      </w:r>
    </w:p>
    <w:p w:rsidR="001C39C8"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Pr="0030325C"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SECTION</w:t>
      </w:r>
      <w:r>
        <w:rPr>
          <w:rFonts w:eastAsia="Times New Roman"/>
        </w:rPr>
        <w:tab/>
        <w:t>2.</w:t>
      </w:r>
      <w:r>
        <w:rPr>
          <w:rFonts w:eastAsia="Times New Roman"/>
        </w:rPr>
        <w:tab/>
      </w:r>
      <w:r w:rsidR="00636532">
        <w:rPr>
          <w:rFonts w:eastAsia="Times New Roman"/>
          <w:color w:val="000000" w:themeColor="text1"/>
          <w:u w:color="000000" w:themeColor="text1"/>
        </w:rPr>
        <w:t>Section 34-11-90(e)</w:t>
      </w:r>
      <w:r w:rsidRPr="0030325C">
        <w:rPr>
          <w:rFonts w:eastAsia="Times New Roman"/>
          <w:color w:val="000000" w:themeColor="text1"/>
          <w:u w:color="000000" w:themeColor="text1"/>
        </w:rPr>
        <w:t xml:space="preserve"> of the 1976 Code is amended to read:</w:t>
      </w:r>
    </w:p>
    <w:p w:rsidR="00894C18" w:rsidRDefault="0089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1F6270">
        <w:t>(e)</w:t>
      </w:r>
      <w:r w:rsidR="00286712">
        <w:tab/>
      </w:r>
      <w:r w:rsidRPr="001F6270">
        <w:t>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Pr="001F6270">
        <w:noBreakHyphen/>
        <w:t>year period following the conviction under this section, the court shall issue an order expunging the records. No person has any rights under this section more than one time</w:t>
      </w:r>
      <w:r w:rsidR="00636532">
        <w:t xml:space="preserve"> </w:t>
      </w:r>
      <w:r w:rsidR="00636532" w:rsidRPr="0030325C">
        <w:rPr>
          <w:rFonts w:eastAsia="Times New Roman"/>
          <w:color w:val="000000" w:themeColor="text1"/>
          <w:szCs w:val="24"/>
          <w:u w:val="single" w:color="000000" w:themeColor="text1"/>
        </w:rPr>
        <w:t>except that a person who has a prior expungement pursuant to Section 22</w:t>
      </w:r>
      <w:r w:rsidR="00636532" w:rsidRPr="0030325C">
        <w:rPr>
          <w:rFonts w:eastAsia="Times New Roman"/>
          <w:color w:val="000000" w:themeColor="text1"/>
          <w:szCs w:val="24"/>
          <w:u w:val="single" w:color="000000" w:themeColor="text1"/>
        </w:rPr>
        <w:noBreakHyphen/>
        <w:t>5</w:t>
      </w:r>
      <w:r w:rsidR="00636532" w:rsidRPr="0030325C">
        <w:rPr>
          <w:rFonts w:eastAsia="Times New Roman"/>
          <w:color w:val="000000" w:themeColor="text1"/>
          <w:szCs w:val="24"/>
          <w:u w:val="single" w:color="000000" w:themeColor="text1"/>
        </w:rPr>
        <w:noBreakHyphen/>
        <w:t>910 may still have an expungement under this section</w:t>
      </w:r>
      <w:r w:rsidRPr="001F6270">
        <w:t>. After the expungement</w:t>
      </w:r>
      <w:r w:rsidR="00636532">
        <w:t xml:space="preserve"> </w:t>
      </w:r>
      <w:r w:rsidR="00636532" w:rsidRPr="00636532">
        <w:rPr>
          <w:u w:val="single"/>
        </w:rPr>
        <w:t>under this section</w:t>
      </w:r>
      <w:r w:rsidRPr="001F6270">
        <w: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sidRPr="001F6270">
        <w:noBreakHyphen/>
        <w:t>11</w:t>
      </w:r>
      <w:r w:rsidRPr="001F6270">
        <w:noBreakHyphen/>
        <w:t>95, the Freedom of Information Act, or any other provision of law except to those authorized law or court officials who need this information in order to prevent the rights afforded by this subsection from being taken advantage of more than once</w:t>
      </w:r>
      <w:r w:rsidR="006829B4">
        <w:t xml:space="preserve"> </w:t>
      </w:r>
      <w:r w:rsidR="006829B4" w:rsidRPr="0030325C">
        <w:rPr>
          <w:rFonts w:eastAsia="Times New Roman"/>
          <w:color w:val="000000" w:themeColor="text1"/>
          <w:szCs w:val="24"/>
          <w:u w:val="single" w:color="000000" w:themeColor="text1"/>
        </w:rPr>
        <w:t>except that a person who has a prior expungement pursuant to Section 22</w:t>
      </w:r>
      <w:r w:rsidR="006829B4" w:rsidRPr="0030325C">
        <w:rPr>
          <w:rFonts w:eastAsia="Times New Roman"/>
          <w:color w:val="000000" w:themeColor="text1"/>
          <w:szCs w:val="24"/>
          <w:u w:val="single" w:color="000000" w:themeColor="text1"/>
        </w:rPr>
        <w:noBreakHyphen/>
        <w:t>5</w:t>
      </w:r>
      <w:r w:rsidR="006829B4" w:rsidRPr="0030325C">
        <w:rPr>
          <w:rFonts w:eastAsia="Times New Roman"/>
          <w:color w:val="000000" w:themeColor="text1"/>
          <w:szCs w:val="24"/>
          <w:u w:val="single" w:color="000000" w:themeColor="text1"/>
        </w:rPr>
        <w:noBreakHyphen/>
        <w:t>910 may still have an expungement under this section</w:t>
      </w:r>
      <w:r w:rsidRPr="001F6270">
        <w:t>.</w:t>
      </w:r>
    </w:p>
    <w:p w:rsidR="00894C18" w:rsidRDefault="00894C18" w:rsidP="0089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6270">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894C18" w:rsidRDefault="00894C18" w:rsidP="005D2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F6270">
        <w:tab/>
        <w:t>Each instrument drawn or uttered in violation of this chapter constitutes a separate offense.</w:t>
      </w:r>
      <w:r>
        <w:t>”</w:t>
      </w:r>
    </w:p>
    <w:p w:rsidR="00894C18" w:rsidRDefault="0089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9C8" w:rsidRPr="00522CE0" w:rsidRDefault="001C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4C18">
        <w:rPr>
          <w:rFonts w:eastAsia="Times New Roman"/>
        </w:rPr>
        <w:t>3</w:t>
      </w:r>
      <w:r>
        <w:rPr>
          <w:rFonts w:eastAsia="Times New Roman"/>
        </w:rPr>
        <w:t>.</w:t>
      </w:r>
      <w:r>
        <w:rPr>
          <w:rFonts w:eastAsia="Times New Roman"/>
        </w:rPr>
        <w:tab/>
        <w:t>This act takes effect upon approval by the Governor.</w:t>
      </w:r>
    </w:p>
    <w:p w:rsidR="002E3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25B3" w:rsidRDefault="003525B3" w:rsidP="003525B3">
      <w:pPr>
        <w:suppressAutoHyphens/>
        <w:jc w:val="both"/>
        <w:rPr>
          <w:rFonts w:eastAsia="Times New Roman"/>
        </w:rPr>
      </w:pPr>
    </w:p>
    <w:sectPr w:rsidR="003525B3" w:rsidSect="003525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66E" w:rsidRDefault="0047766E" w:rsidP="00522CE0">
      <w:r>
        <w:separator/>
      </w:r>
    </w:p>
  </w:endnote>
  <w:endnote w:type="continuationSeparator" w:id="0">
    <w:p w:rsidR="0047766E" w:rsidRDefault="00477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85EDCA-932C-4561-B066-FC15245ADF05}"/>
    <w:embedBold r:id="rId2" w:fontKey="{8539E95C-CC07-4F5D-B807-78FEC7129739}"/>
  </w:font>
  <w:font w:name="Calibri">
    <w:panose1 w:val="020F0502020204030204"/>
    <w:charset w:val="00"/>
    <w:family w:val="swiss"/>
    <w:pitch w:val="variable"/>
    <w:sig w:usb0="E00002FF" w:usb1="4000ACFF" w:usb2="00000001" w:usb3="00000000" w:csb0="0000019F" w:csb1="00000000"/>
    <w:embedRegular r:id="rId3" w:fontKey="{F58743D4-FE59-4B46-A5BD-D37B9291121F}"/>
    <w:embedBold r:id="rId4" w:fontKey="{8453E931-C8DF-4FCF-BD2E-C94F202A5292}"/>
  </w:font>
  <w:font w:name="Segoe UI">
    <w:panose1 w:val="020B0502040204020203"/>
    <w:charset w:val="00"/>
    <w:family w:val="swiss"/>
    <w:pitch w:val="variable"/>
    <w:sig w:usb0="E10022FF" w:usb1="C000E47F" w:usb2="00000029" w:usb3="00000000" w:csb0="000001DF" w:csb1="00000000"/>
    <w:embedRegular r:id="rId5" w:fontKey="{1B5228DC-7FFA-4612-BFCB-4A78ABFB3CCF}"/>
  </w:font>
  <w:font w:name="Cambria">
    <w:panose1 w:val="02040503050406030204"/>
    <w:charset w:val="00"/>
    <w:family w:val="roman"/>
    <w:pitch w:val="variable"/>
    <w:sig w:usb0="E00002FF" w:usb1="400004FF" w:usb2="00000000" w:usb3="00000000" w:csb0="0000019F" w:csb1="00000000"/>
    <w:embedRegular r:id="rId6" w:fontKey="{C6199E7F-8A95-42F3-81BA-49981E1EC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5B3" w:rsidRPr="008077E1" w:rsidRDefault="003525B3" w:rsidP="008077E1">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AD1C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66E" w:rsidRDefault="0047766E" w:rsidP="00522CE0">
      <w:r>
        <w:separator/>
      </w:r>
    </w:p>
  </w:footnote>
  <w:footnote w:type="continuationSeparator" w:id="0">
    <w:p w:rsidR="0047766E" w:rsidRDefault="00477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JCV"/>
    <w:docVar w:name="CoverAttorneyInitials" w:val="JCV"/>
    <w:docVar w:name="CoverAttorneyLastName" w:val="Valenzuela"/>
    <w:docVar w:name="CoverBillType" w:val="b"/>
    <w:docVar w:name="DraftFileName" w:val="JUD0022.JCV.DOCX"/>
    <w:docVar w:name="DraftStenoName" w:val="Henry"/>
    <w:docVar w:name="dvBillNumber" w:val="302"/>
    <w:docVar w:name="dvBillNumberPrefix" w:val="S. "/>
    <w:docVar w:name="dvOriginalBody" w:val="Senate"/>
    <w:docVar w:name="fulldraftpath" w:val="L:\S-JUD\BILLS\Hutto\JUD0022.JCV.DOCX"/>
    <w:docVar w:name="NameofBody" w:val="S"/>
    <w:docVar w:name="SenatorFolderName" w:val="Hutto"/>
    <w:docVar w:name="VGROUP2" w:val="S-JUD"/>
  </w:docVars>
  <w:rsids>
    <w:rsidRoot w:val="001C39C8"/>
    <w:rsid w:val="000141EB"/>
    <w:rsid w:val="00042AC1"/>
    <w:rsid w:val="00046516"/>
    <w:rsid w:val="00060ED9"/>
    <w:rsid w:val="000A179D"/>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39C8"/>
    <w:rsid w:val="001D3BAC"/>
    <w:rsid w:val="00206D3D"/>
    <w:rsid w:val="00206FA2"/>
    <w:rsid w:val="0021330E"/>
    <w:rsid w:val="00221A5C"/>
    <w:rsid w:val="0024519E"/>
    <w:rsid w:val="00245C4E"/>
    <w:rsid w:val="00286712"/>
    <w:rsid w:val="002C5896"/>
    <w:rsid w:val="002E203D"/>
    <w:rsid w:val="002E3CDB"/>
    <w:rsid w:val="002E7B2B"/>
    <w:rsid w:val="00307C2B"/>
    <w:rsid w:val="0031409E"/>
    <w:rsid w:val="0032109A"/>
    <w:rsid w:val="00333DF1"/>
    <w:rsid w:val="0033541C"/>
    <w:rsid w:val="003525B3"/>
    <w:rsid w:val="00364389"/>
    <w:rsid w:val="003D6A5D"/>
    <w:rsid w:val="003D6E2B"/>
    <w:rsid w:val="003E7597"/>
    <w:rsid w:val="00412C9E"/>
    <w:rsid w:val="0042257B"/>
    <w:rsid w:val="00450668"/>
    <w:rsid w:val="00452CD7"/>
    <w:rsid w:val="0047766E"/>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55187"/>
    <w:rsid w:val="00565148"/>
    <w:rsid w:val="00581497"/>
    <w:rsid w:val="00586B30"/>
    <w:rsid w:val="0058748C"/>
    <w:rsid w:val="00593361"/>
    <w:rsid w:val="005A5017"/>
    <w:rsid w:val="005A648C"/>
    <w:rsid w:val="005D2ACE"/>
    <w:rsid w:val="005F15E4"/>
    <w:rsid w:val="00600221"/>
    <w:rsid w:val="00606D23"/>
    <w:rsid w:val="00617BF0"/>
    <w:rsid w:val="00636532"/>
    <w:rsid w:val="00641A16"/>
    <w:rsid w:val="006431BA"/>
    <w:rsid w:val="006829B4"/>
    <w:rsid w:val="006B4B3C"/>
    <w:rsid w:val="006C74EA"/>
    <w:rsid w:val="00720D40"/>
    <w:rsid w:val="0073026D"/>
    <w:rsid w:val="007311B4"/>
    <w:rsid w:val="007318D4"/>
    <w:rsid w:val="00746551"/>
    <w:rsid w:val="007651CE"/>
    <w:rsid w:val="0076552B"/>
    <w:rsid w:val="00765784"/>
    <w:rsid w:val="00785E76"/>
    <w:rsid w:val="007A4390"/>
    <w:rsid w:val="007C65B0"/>
    <w:rsid w:val="007E3B8F"/>
    <w:rsid w:val="007E5CB7"/>
    <w:rsid w:val="008077E1"/>
    <w:rsid w:val="00814EED"/>
    <w:rsid w:val="008314D2"/>
    <w:rsid w:val="00834860"/>
    <w:rsid w:val="008804AE"/>
    <w:rsid w:val="00894939"/>
    <w:rsid w:val="00894C18"/>
    <w:rsid w:val="008B2F42"/>
    <w:rsid w:val="008E185F"/>
    <w:rsid w:val="008E2772"/>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D1CE8"/>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2FED"/>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E13D9B2-FD0A-40F7-96F5-B53E63CF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D2A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ACE"/>
    <w:rPr>
      <w:rFonts w:ascii="Segoe UI" w:hAnsi="Segoe UI" w:cs="Segoe UI"/>
      <w:sz w:val="18"/>
      <w:szCs w:val="18"/>
    </w:rPr>
  </w:style>
  <w:style w:type="character" w:styleId="Hyperlink">
    <w:name w:val="Hyperlink"/>
    <w:basedOn w:val="DefaultParagraphFont"/>
    <w:uiPriority w:val="99"/>
    <w:unhideWhenUsed/>
    <w:rsid w:val="00352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02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642</Words>
  <Characters>3604</Characters>
  <Application>Microsoft Office Word</Application>
  <DocSecurity>0</DocSecurity>
  <Lines>109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 Expungement - South Carolina Legislature Online</dc:title>
  <dc:subject/>
  <dc:creator>Johanna Valenzuela</dc:creator>
  <cp:keywords/>
  <dc:description/>
  <cp:lastModifiedBy>S Volk</cp:lastModifiedBy>
  <cp:revision>2</cp:revision>
  <dcterms:created xsi:type="dcterms:W3CDTF">2019-09-11T14:44:00Z</dcterms:created>
  <dcterms:modified xsi:type="dcterms:W3CDTF">2019-09-11T14:44:00Z</dcterms:modified>
</cp:coreProperties>
</file>