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158" w:rsidRDefault="008B4158" w:rsidP="008B4158">
      <w:pPr>
        <w:widowControl w:val="0"/>
        <w:jc w:val="center"/>
      </w:pPr>
      <w:r w:rsidRPr="008B4158">
        <w:rPr>
          <w:b/>
        </w:rPr>
        <w:t>South Carolina General Assembly</w:t>
      </w:r>
    </w:p>
    <w:p w:rsidR="008B4158" w:rsidRDefault="008B4158" w:rsidP="008B4158">
      <w:pPr>
        <w:widowControl w:val="0"/>
        <w:jc w:val="center"/>
      </w:pPr>
      <w:r>
        <w:t>123rd Session, 2019-2020</w:t>
      </w:r>
    </w:p>
    <w:p w:rsidR="008B4158" w:rsidRDefault="008B4158" w:rsidP="008B4158">
      <w:pPr>
        <w:widowControl w:val="0"/>
        <w:jc w:val="left"/>
      </w:pPr>
    </w:p>
    <w:p w:rsidR="008B4158" w:rsidRDefault="008B4158" w:rsidP="008B4158">
      <w:pPr>
        <w:widowControl w:val="0"/>
        <w:jc w:val="left"/>
        <w:rPr>
          <w:b/>
        </w:rPr>
      </w:pPr>
      <w:r w:rsidRPr="008B4158">
        <w:rPr>
          <w:b/>
        </w:rPr>
        <w:t>H. 3299</w:t>
      </w:r>
    </w:p>
    <w:p w:rsidR="008B4158" w:rsidRDefault="008B4158" w:rsidP="008B4158">
      <w:pPr>
        <w:widowControl w:val="0"/>
        <w:jc w:val="left"/>
        <w:rPr>
          <w:b/>
        </w:rPr>
      </w:pPr>
    </w:p>
    <w:p w:rsidR="008B4158" w:rsidRDefault="008B4158" w:rsidP="008B4158">
      <w:pPr>
        <w:widowControl w:val="0"/>
        <w:jc w:val="left"/>
      </w:pPr>
      <w:r w:rsidRPr="008B4158">
        <w:rPr>
          <w:b/>
        </w:rPr>
        <w:t>STATUS INFORMATION</w:t>
      </w:r>
    </w:p>
    <w:p w:rsidR="008B4158" w:rsidRDefault="008B4158" w:rsidP="008B4158">
      <w:pPr>
        <w:widowControl w:val="0"/>
        <w:jc w:val="left"/>
      </w:pPr>
    </w:p>
    <w:p w:rsidR="008B4158" w:rsidRDefault="008B4158" w:rsidP="008B4158">
      <w:pPr>
        <w:widowControl w:val="0"/>
        <w:jc w:val="left"/>
      </w:pPr>
      <w:r>
        <w:t>General Bill</w:t>
      </w:r>
    </w:p>
    <w:p w:rsidR="008B4158" w:rsidRDefault="008B4158" w:rsidP="008B4158">
      <w:pPr>
        <w:widowControl w:val="0"/>
        <w:jc w:val="left"/>
      </w:pPr>
      <w:r>
        <w:t>Sponsors: Reps. Erickson, Bernstein and Collins</w:t>
      </w:r>
    </w:p>
    <w:p w:rsidR="008B4158" w:rsidRDefault="008B4158" w:rsidP="008B4158">
      <w:pPr>
        <w:widowControl w:val="0"/>
        <w:jc w:val="left"/>
      </w:pPr>
      <w:r>
        <w:t>Document Path: l:\council\bills\cc\15346vr19.docx</w:t>
      </w:r>
    </w:p>
    <w:p w:rsidR="00BF4958" w:rsidRDefault="00BF4958" w:rsidP="008B4158">
      <w:pPr>
        <w:widowControl w:val="0"/>
        <w:jc w:val="left"/>
      </w:pPr>
      <w:r>
        <w:t>Companion/Similar bill(s): 24</w:t>
      </w:r>
    </w:p>
    <w:p w:rsidR="008B4158" w:rsidRDefault="008B4158" w:rsidP="008B4158">
      <w:pPr>
        <w:widowControl w:val="0"/>
        <w:jc w:val="left"/>
      </w:pPr>
    </w:p>
    <w:p w:rsidR="00BF4958" w:rsidRDefault="00BF4958" w:rsidP="008B4158">
      <w:pPr>
        <w:widowControl w:val="0"/>
        <w:jc w:val="left"/>
      </w:pPr>
      <w:r>
        <w:t>Introduced in the House on January 8, 2019</w:t>
      </w:r>
    </w:p>
    <w:p w:rsidR="00BF4958" w:rsidRPr="00BF4958" w:rsidRDefault="00BF4958" w:rsidP="008B4158">
      <w:pPr>
        <w:widowControl w:val="0"/>
        <w:jc w:val="left"/>
      </w:pPr>
      <w:r>
        <w:t xml:space="preserve">Currently residing in the House Committee on </w:t>
      </w:r>
      <w:r w:rsidRPr="00BF4958">
        <w:rPr>
          <w:b/>
        </w:rPr>
        <w:t>Ways and Means</w:t>
      </w:r>
    </w:p>
    <w:p w:rsidR="00BF4958" w:rsidRDefault="00BF4958" w:rsidP="008B4158">
      <w:pPr>
        <w:widowControl w:val="0"/>
        <w:jc w:val="left"/>
      </w:pPr>
    </w:p>
    <w:p w:rsidR="008B4158" w:rsidRDefault="008B4158" w:rsidP="008B4158">
      <w:pPr>
        <w:widowControl w:val="0"/>
        <w:jc w:val="left"/>
      </w:pPr>
      <w:r>
        <w:t xml:space="preserve">Summary: </w:t>
      </w:r>
      <w:r w:rsidR="00993F45">
        <w:t>Cigarette surtax</w:t>
      </w:r>
    </w:p>
    <w:p w:rsidR="008B4158" w:rsidRDefault="008B4158" w:rsidP="008B4158">
      <w:pPr>
        <w:widowControl w:val="0"/>
        <w:jc w:val="left"/>
      </w:pPr>
    </w:p>
    <w:p w:rsidR="008B4158" w:rsidRDefault="008B4158" w:rsidP="008B4158">
      <w:pPr>
        <w:widowControl w:val="0"/>
        <w:jc w:val="left"/>
      </w:pPr>
    </w:p>
    <w:p w:rsidR="008B4158" w:rsidRDefault="008B4158" w:rsidP="008B4158">
      <w:pPr>
        <w:widowControl w:val="0"/>
        <w:tabs>
          <w:tab w:val="center" w:pos="590"/>
          <w:tab w:val="center" w:pos="1440"/>
          <w:tab w:val="left" w:pos="1872"/>
          <w:tab w:val="left" w:pos="9187"/>
        </w:tabs>
        <w:jc w:val="left"/>
      </w:pPr>
      <w:r w:rsidRPr="008B4158">
        <w:rPr>
          <w:b/>
        </w:rPr>
        <w:t>HISTORY OF LEGISLATIVE ACTIONS</w:t>
      </w:r>
    </w:p>
    <w:p w:rsidR="008B4158" w:rsidRDefault="008B4158" w:rsidP="008B4158">
      <w:pPr>
        <w:widowControl w:val="0"/>
        <w:tabs>
          <w:tab w:val="center" w:pos="590"/>
          <w:tab w:val="center" w:pos="1440"/>
          <w:tab w:val="left" w:pos="1872"/>
          <w:tab w:val="left" w:pos="9187"/>
        </w:tabs>
        <w:jc w:val="left"/>
      </w:pPr>
    </w:p>
    <w:p w:rsidR="008B4158" w:rsidRPr="008B4158" w:rsidRDefault="008B4158" w:rsidP="008B4158">
      <w:pPr>
        <w:widowControl w:val="0"/>
        <w:tabs>
          <w:tab w:val="center" w:pos="590"/>
          <w:tab w:val="center" w:pos="1440"/>
          <w:tab w:val="left" w:pos="1872"/>
          <w:tab w:val="left" w:pos="9187"/>
        </w:tabs>
        <w:jc w:val="left"/>
      </w:pPr>
      <w:r w:rsidRPr="008B4158">
        <w:rPr>
          <w:u w:val="single"/>
        </w:rPr>
        <w:tab/>
        <w:t>Date</w:t>
      </w:r>
      <w:r w:rsidRPr="008B4158">
        <w:rPr>
          <w:u w:val="single"/>
        </w:rPr>
        <w:tab/>
        <w:t>Body</w:t>
      </w:r>
      <w:r w:rsidRPr="008B4158">
        <w:rPr>
          <w:u w:val="single"/>
        </w:rPr>
        <w:tab/>
        <w:t>Action Description with journal page number</w:t>
      </w:r>
      <w:r w:rsidRPr="008B4158">
        <w:rPr>
          <w:u w:val="single"/>
        </w:rPr>
        <w:tab/>
      </w:r>
    </w:p>
    <w:p w:rsidR="00D11AB0" w:rsidRDefault="00D11AB0" w:rsidP="00D11AB0">
      <w:pPr>
        <w:widowControl w:val="0"/>
        <w:tabs>
          <w:tab w:val="right" w:pos="1008"/>
          <w:tab w:val="left" w:pos="1152"/>
          <w:tab w:val="left" w:pos="1872"/>
          <w:tab w:val="left" w:pos="9187"/>
        </w:tabs>
        <w:ind w:left="2088" w:hanging="2088"/>
      </w:pPr>
      <w:r>
        <w:tab/>
        <w:t>12/18/2018</w:t>
      </w:r>
      <w:r>
        <w:tab/>
        <w:t>House</w:t>
      </w:r>
      <w:r>
        <w:tab/>
      </w:r>
      <w:r w:rsidRPr="00D26786">
        <w:t>Prefiled</w:t>
      </w:r>
    </w:p>
    <w:p w:rsidR="00D11AB0" w:rsidRDefault="00D11AB0" w:rsidP="00D11AB0">
      <w:pPr>
        <w:widowControl w:val="0"/>
        <w:tabs>
          <w:tab w:val="right" w:pos="1008"/>
          <w:tab w:val="left" w:pos="1152"/>
          <w:tab w:val="left" w:pos="1872"/>
          <w:tab w:val="left" w:pos="9187"/>
        </w:tabs>
        <w:ind w:left="2088" w:hanging="2088"/>
      </w:pPr>
      <w:r>
        <w:tab/>
        <w:t>12/18/2018</w:t>
      </w:r>
      <w:r>
        <w:tab/>
        <w:t>House</w:t>
      </w:r>
      <w:r>
        <w:tab/>
      </w:r>
      <w:r w:rsidRPr="00D26786">
        <w:t xml:space="preserve">Referred to Committee on </w:t>
      </w:r>
      <w:r w:rsidRPr="00D26786">
        <w:rPr>
          <w:b/>
        </w:rPr>
        <w:t>Ways and Means</w:t>
      </w:r>
    </w:p>
    <w:p w:rsidR="00D11AB0" w:rsidRDefault="00D11AB0" w:rsidP="00D11AB0">
      <w:pPr>
        <w:widowControl w:val="0"/>
        <w:tabs>
          <w:tab w:val="right" w:pos="1008"/>
          <w:tab w:val="left" w:pos="1152"/>
          <w:tab w:val="left" w:pos="1872"/>
          <w:tab w:val="left" w:pos="9187"/>
        </w:tabs>
        <w:ind w:left="2088" w:hanging="2088"/>
      </w:pPr>
      <w:r>
        <w:tab/>
        <w:t>1/8/2019</w:t>
      </w:r>
      <w:r>
        <w:tab/>
        <w:t>House</w:t>
      </w:r>
      <w:r>
        <w:tab/>
      </w:r>
      <w:r w:rsidRPr="00D26786">
        <w:t>Introduced and read first time (</w:t>
      </w:r>
      <w:hyperlink r:id="rId7" w:history="1">
        <w:r w:rsidRPr="00D26786">
          <w:rPr>
            <w:rStyle w:val="Hyperlink"/>
          </w:rPr>
          <w:t>House Journal</w:t>
        </w:r>
        <w:r w:rsidRPr="00D26786">
          <w:rPr>
            <w:rStyle w:val="Hyperlink"/>
          </w:rPr>
          <w:noBreakHyphen/>
          <w:t>page 162</w:t>
        </w:r>
      </w:hyperlink>
      <w:r w:rsidRPr="00D26786">
        <w:t>)</w:t>
      </w:r>
    </w:p>
    <w:p w:rsidR="00D11AB0" w:rsidRDefault="00D11AB0" w:rsidP="00D11AB0">
      <w:pPr>
        <w:widowControl w:val="0"/>
        <w:tabs>
          <w:tab w:val="right" w:pos="1008"/>
          <w:tab w:val="left" w:pos="1152"/>
          <w:tab w:val="left" w:pos="1872"/>
          <w:tab w:val="left" w:pos="9187"/>
        </w:tabs>
        <w:ind w:left="2088" w:hanging="2088"/>
      </w:pPr>
      <w:r>
        <w:tab/>
        <w:t>1/8/2019</w:t>
      </w:r>
      <w:r>
        <w:tab/>
        <w:t>House</w:t>
      </w:r>
      <w:r>
        <w:tab/>
      </w:r>
      <w:r w:rsidRPr="00D26786">
        <w:t>Referred to Commi</w:t>
      </w:r>
      <w:r>
        <w:t xml:space="preserve">ttee on </w:t>
      </w:r>
      <w:r w:rsidRPr="00D26786">
        <w:rPr>
          <w:b/>
        </w:rPr>
        <w:t>Ways and Means</w:t>
      </w:r>
      <w:r>
        <w:t xml:space="preserve"> </w:t>
      </w:r>
      <w:r w:rsidRPr="00D26786">
        <w:t>(</w:t>
      </w:r>
      <w:hyperlink r:id="rId8" w:history="1">
        <w:r w:rsidRPr="00D26786">
          <w:rPr>
            <w:rStyle w:val="Hyperlink"/>
          </w:rPr>
          <w:t>House Journal</w:t>
        </w:r>
        <w:r w:rsidRPr="00D26786">
          <w:rPr>
            <w:rStyle w:val="Hyperlink"/>
          </w:rPr>
          <w:noBreakHyphen/>
          <w:t>page 162</w:t>
        </w:r>
      </w:hyperlink>
      <w:r w:rsidRPr="00D26786">
        <w:t>)</w:t>
      </w:r>
    </w:p>
    <w:p w:rsidR="00D11AB0" w:rsidRDefault="00D11AB0" w:rsidP="00D11AB0">
      <w:pPr>
        <w:widowControl w:val="0"/>
        <w:tabs>
          <w:tab w:val="right" w:pos="1008"/>
          <w:tab w:val="left" w:pos="1152"/>
          <w:tab w:val="left" w:pos="1872"/>
          <w:tab w:val="left" w:pos="9187"/>
        </w:tabs>
        <w:ind w:left="2088" w:hanging="2088"/>
      </w:pPr>
    </w:p>
    <w:p w:rsidR="008B4158" w:rsidRDefault="008B4158" w:rsidP="008B415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B4158">
          <w:rPr>
            <w:rStyle w:val="Hyperlink"/>
          </w:rPr>
          <w:t>legislative information</w:t>
        </w:r>
      </w:hyperlink>
      <w:r>
        <w:t xml:space="preserve"> at the website</w:t>
      </w:r>
    </w:p>
    <w:p w:rsidR="008B4158" w:rsidRDefault="008B4158" w:rsidP="008B4158">
      <w:pPr>
        <w:widowControl w:val="0"/>
        <w:tabs>
          <w:tab w:val="right" w:pos="1008"/>
          <w:tab w:val="left" w:pos="1152"/>
          <w:tab w:val="left" w:pos="1872"/>
          <w:tab w:val="left" w:pos="9187"/>
        </w:tabs>
        <w:ind w:left="2088" w:hanging="2088"/>
        <w:jc w:val="left"/>
      </w:pPr>
    </w:p>
    <w:p w:rsidR="008B4158" w:rsidRPr="008B4158" w:rsidRDefault="008B4158" w:rsidP="008B4158">
      <w:pPr>
        <w:widowControl w:val="0"/>
        <w:tabs>
          <w:tab w:val="right" w:pos="1008"/>
          <w:tab w:val="left" w:pos="1152"/>
          <w:tab w:val="left" w:pos="1872"/>
          <w:tab w:val="left" w:pos="9187"/>
        </w:tabs>
        <w:ind w:left="2088" w:hanging="2088"/>
        <w:jc w:val="left"/>
      </w:pPr>
    </w:p>
    <w:p w:rsidR="008B4158" w:rsidRDefault="008B4158" w:rsidP="008B4158">
      <w:pPr>
        <w:widowControl w:val="0"/>
        <w:jc w:val="left"/>
      </w:pPr>
      <w:r w:rsidRPr="008B4158">
        <w:rPr>
          <w:b/>
        </w:rPr>
        <w:t>VERSIONS OF THIS BILL</w:t>
      </w:r>
    </w:p>
    <w:p w:rsidR="008B4158" w:rsidRDefault="008B4158" w:rsidP="008B4158">
      <w:pPr>
        <w:widowControl w:val="0"/>
        <w:jc w:val="left"/>
      </w:pPr>
    </w:p>
    <w:p w:rsidR="008B4158" w:rsidRDefault="00631F63" w:rsidP="008B4158">
      <w:pPr>
        <w:widowControl w:val="0"/>
        <w:jc w:val="left"/>
      </w:pPr>
      <w:hyperlink r:id="rId10" w:history="1">
        <w:r w:rsidR="008B4158">
          <w:rPr>
            <w:rStyle w:val="Hyperlink"/>
          </w:rPr>
          <w:t>12/18/2018</w:t>
        </w:r>
      </w:hyperlink>
    </w:p>
    <w:p w:rsidR="008B4158" w:rsidRDefault="008B4158" w:rsidP="008B4158"/>
    <w:p w:rsidR="008B4158" w:rsidRDefault="008B4158" w:rsidP="008B4158">
      <w:pPr>
        <w:sectPr w:rsidR="008B4158" w:rsidSect="008B4158">
          <w:pgSz w:w="12240" w:h="15840" w:code="1"/>
          <w:pgMar w:top="1080" w:right="1440" w:bottom="1080" w:left="1440" w:header="720" w:footer="720" w:gutter="0"/>
          <w:cols w:space="720"/>
          <w:noEndnote/>
          <w:docGrid w:linePitch="360"/>
        </w:sectPr>
      </w:pPr>
    </w:p>
    <w:p w:rsidR="00742C72" w:rsidRDefault="00742C72"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DBB" w:rsidRDefault="00264DBB" w:rsidP="00264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C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287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28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45CE">
        <w:rPr>
          <w:color w:val="000000" w:themeColor="text1"/>
          <w:u w:color="000000" w:themeColor="text1"/>
        </w:rPr>
        <w:t>TO AMEND SECTION 12</w:t>
      </w:r>
      <w:r>
        <w:rPr>
          <w:color w:val="000000" w:themeColor="text1"/>
          <w:u w:color="000000" w:themeColor="text1"/>
        </w:rPr>
        <w:noBreakHyphen/>
      </w:r>
      <w:r w:rsidRPr="001145CE">
        <w:rPr>
          <w:color w:val="000000" w:themeColor="text1"/>
          <w:u w:color="000000" w:themeColor="text1"/>
        </w:rPr>
        <w:t>21</w:t>
      </w:r>
      <w:r>
        <w:rPr>
          <w:color w:val="000000" w:themeColor="text1"/>
          <w:u w:color="000000" w:themeColor="text1"/>
        </w:rPr>
        <w:noBreakHyphen/>
      </w:r>
      <w:r w:rsidRPr="001145CE">
        <w:rPr>
          <w:color w:val="000000" w:themeColor="text1"/>
          <w:u w:color="000000" w:themeColor="text1"/>
        </w:rPr>
        <w:t>625, CODE OF LAWS OF SOUTH CAROLINA, 1976, RELATING TO THE SURTAX ON CIGARETTES, INCLUDING THE DEFINITION OF “CIGARETTE”, SO AS TO REVISE THE WEIGHT LIMITATION ON CIGARETTES FROM THREE POUNDS OR LESS PER ONE THOUSAND CIGARETTES TO FOUR AND ONE</w:t>
      </w:r>
      <w:r>
        <w:rPr>
          <w:color w:val="000000" w:themeColor="text1"/>
          <w:u w:color="000000" w:themeColor="text1"/>
        </w:rPr>
        <w:noBreakHyphen/>
      </w:r>
      <w:r w:rsidRPr="001145CE">
        <w:rPr>
          <w:color w:val="000000" w:themeColor="text1"/>
          <w:u w:color="000000" w:themeColor="text1"/>
        </w:rPr>
        <w:t>HALF POUNDS OR LESS PER ONE THOUSAND CIGARETTES AND TO EXEMPT THOSE WRAPPED TOTALLY IN TOBACCO LEAF WITH NO FILTER, AND TO DEFINE “CIGARETTE” TO INCLUDE 0.325 OUNCES OF TOBACCO LIKELY INTENDED TO BE PURCHASED TO ROLL YOUR OWN CIGARETTES; AND TO REQUIRE THE DIRECTOR OF THE DEPARTMENT OF REVENUE TO DETERMINE IF THERE ARE BARRIERS TO THE ENFORCEMENT OR COLLECTION OF CIGARETTE TAXES, TO MAKE RECOMMENDATIONS TO REMOVE THESE BARRIERS, AND TO REPORT THEIR FINDINGS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2875" w:rsidRDefault="00392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875" w:rsidRDefault="003928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28C0" w:rsidRPr="001145CE" w:rsidRDefault="00392875"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28C0" w:rsidRPr="001145CE">
        <w:rPr>
          <w:color w:val="000000" w:themeColor="text1"/>
          <w:u w:color="000000" w:themeColor="text1"/>
        </w:rPr>
        <w:t>Section 12</w:t>
      </w:r>
      <w:r w:rsidR="001128C0">
        <w:rPr>
          <w:color w:val="000000" w:themeColor="text1"/>
          <w:u w:color="000000" w:themeColor="text1"/>
        </w:rPr>
        <w:noBreakHyphen/>
      </w:r>
      <w:r w:rsidR="001128C0" w:rsidRPr="001145CE">
        <w:rPr>
          <w:color w:val="000000" w:themeColor="text1"/>
          <w:u w:color="000000" w:themeColor="text1"/>
        </w:rPr>
        <w:t>21</w:t>
      </w:r>
      <w:r w:rsidR="001128C0">
        <w:rPr>
          <w:color w:val="000000" w:themeColor="text1"/>
          <w:u w:color="000000" w:themeColor="text1"/>
        </w:rPr>
        <w:noBreakHyphen/>
      </w:r>
      <w:r w:rsidR="001128C0" w:rsidRPr="001145CE">
        <w:rPr>
          <w:color w:val="000000" w:themeColor="text1"/>
          <w:u w:color="000000" w:themeColor="text1"/>
        </w:rPr>
        <w:t>625(D) of the 1976 Code is amended to read:</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t>“(D)</w:t>
      </w:r>
      <w:r w:rsidRPr="001145CE">
        <w:rPr>
          <w:color w:val="000000" w:themeColor="text1"/>
          <w:u w:color="000000" w:themeColor="text1"/>
        </w:rPr>
        <w:tab/>
        <w:t xml:space="preserve">For purposes of this section, </w:t>
      </w:r>
      <w:r w:rsidRPr="001128C0">
        <w:rPr>
          <w:color w:val="000000" w:themeColor="text1"/>
          <w:u w:color="000000" w:themeColor="text1"/>
        </w:rPr>
        <w:t>‘</w:t>
      </w:r>
      <w:r w:rsidRPr="001145CE">
        <w:rPr>
          <w:color w:val="000000" w:themeColor="text1"/>
          <w:u w:color="000000" w:themeColor="text1"/>
        </w:rPr>
        <w:t>cigarette</w:t>
      </w:r>
      <w:r w:rsidRPr="001128C0">
        <w:rPr>
          <w:color w:val="000000" w:themeColor="text1"/>
          <w:u w:color="000000" w:themeColor="text1"/>
        </w:rPr>
        <w:t>’</w:t>
      </w:r>
      <w:r w:rsidRPr="001145CE">
        <w:rPr>
          <w:color w:val="000000" w:themeColor="text1"/>
          <w:u w:color="000000" w:themeColor="text1"/>
        </w:rPr>
        <w:t xml:space="preserve"> means: </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(1)</w:t>
      </w:r>
      <w:r w:rsidRPr="001145CE">
        <w:rPr>
          <w:color w:val="000000" w:themeColor="text1"/>
          <w:u w:color="000000" w:themeColor="text1"/>
        </w:rPr>
        <w:tab/>
        <w:t xml:space="preserve">any roll for smoking containing tobacco or any substitute for tobacco wrapped in paper or in any substance other than a tobacco leaf; </w:t>
      </w:r>
      <w:r w:rsidRPr="001145CE">
        <w:rPr>
          <w:strike/>
          <w:color w:val="000000" w:themeColor="text1"/>
          <w:u w:color="000000" w:themeColor="text1"/>
        </w:rPr>
        <w:t>or</w:t>
      </w:r>
      <w:r w:rsidRPr="001145CE">
        <w:rPr>
          <w:color w:val="000000" w:themeColor="text1"/>
          <w:u w:color="000000" w:themeColor="text1"/>
        </w:rPr>
        <w:t xml:space="preserve"> </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color="000000" w:themeColor="text1"/>
        </w:rPr>
        <w:tab/>
        <w:t>(2)</w:t>
      </w:r>
      <w:r w:rsidRPr="001145CE">
        <w:rPr>
          <w:color w:val="000000" w:themeColor="text1"/>
          <w:u w:color="000000" w:themeColor="text1"/>
        </w:rPr>
        <w:tab/>
        <w:t xml:space="preserve">any roll for smoking containing tobacco or any substitute for tobacco, </w:t>
      </w:r>
      <w:r w:rsidRPr="001145CE">
        <w:rPr>
          <w:color w:val="000000" w:themeColor="text1"/>
          <w:u w:val="single" w:color="000000" w:themeColor="text1"/>
        </w:rPr>
        <w:t>except those wrapped totally in tobacco leaf that do not have a filter,</w:t>
      </w:r>
      <w:r w:rsidRPr="001145CE">
        <w:rPr>
          <w:color w:val="000000" w:themeColor="text1"/>
          <w:u w:color="000000" w:themeColor="text1"/>
        </w:rPr>
        <w:t xml:space="preserve"> wrapped in any substance, weighing </w:t>
      </w:r>
      <w:r w:rsidRPr="001145CE">
        <w:rPr>
          <w:strike/>
          <w:color w:val="000000" w:themeColor="text1"/>
          <w:u w:color="000000" w:themeColor="text1"/>
        </w:rPr>
        <w:t>three</w:t>
      </w:r>
      <w:r w:rsidRPr="001145CE">
        <w:rPr>
          <w:color w:val="000000" w:themeColor="text1"/>
          <w:u w:color="000000" w:themeColor="text1"/>
        </w:rPr>
        <w:t xml:space="preserve"> </w:t>
      </w:r>
      <w:r w:rsidRPr="001145CE">
        <w:rPr>
          <w:color w:val="000000" w:themeColor="text1"/>
          <w:u w:val="single" w:color="000000" w:themeColor="text1"/>
        </w:rPr>
        <w:t xml:space="preserve">four and </w:t>
      </w:r>
      <w:r w:rsidRPr="001145CE">
        <w:rPr>
          <w:color w:val="000000" w:themeColor="text1"/>
          <w:u w:val="single" w:color="000000" w:themeColor="text1"/>
        </w:rPr>
        <w:lastRenderedPageBreak/>
        <w:t>one</w:t>
      </w:r>
      <w:r>
        <w:rPr>
          <w:color w:val="000000" w:themeColor="text1"/>
          <w:u w:val="single" w:color="000000" w:themeColor="text1"/>
        </w:rPr>
        <w:noBreakHyphen/>
      </w:r>
      <w:r w:rsidRPr="001145CE">
        <w:rPr>
          <w:color w:val="000000" w:themeColor="text1"/>
          <w:u w:val="single" w:color="000000" w:themeColor="text1"/>
        </w:rPr>
        <w:t>half</w:t>
      </w:r>
      <w:r w:rsidRPr="001145CE">
        <w:rPr>
          <w:color w:val="000000" w:themeColor="text1"/>
          <w:u w:color="000000" w:themeColor="text1"/>
        </w:rPr>
        <w:t xml:space="preserve"> pounds </w:t>
      </w:r>
      <w:r w:rsidRPr="001145CE">
        <w:rPr>
          <w:color w:val="000000" w:themeColor="text1"/>
          <w:u w:val="single" w:color="000000" w:themeColor="text1"/>
        </w:rPr>
        <w:t>or less</w:t>
      </w:r>
      <w:r w:rsidRPr="001145CE">
        <w:rPr>
          <w:color w:val="000000" w:themeColor="text1"/>
          <w:u w:color="000000" w:themeColor="text1"/>
        </w:rPr>
        <w:t xml:space="preserve"> per thousand </w:t>
      </w:r>
      <w:r w:rsidRPr="001145CE">
        <w:rPr>
          <w:strike/>
          <w:color w:val="000000" w:themeColor="text1"/>
          <w:u w:color="000000" w:themeColor="text1"/>
        </w:rPr>
        <w:t>or less</w:t>
      </w:r>
      <w:r w:rsidRPr="001145CE">
        <w:rPr>
          <w:color w:val="000000" w:themeColor="text1"/>
          <w:u w:color="000000" w:themeColor="text1"/>
        </w:rPr>
        <w:t>, however labeled or named, which because of its appearance, size, type of tobacco used in the filler, or its packaging, pricing, marketing, or labeling, is likely to be offered to, or purchased by, consumers as a cigarette described in item (1)</w:t>
      </w:r>
      <w:r w:rsidRPr="001145CE">
        <w:rPr>
          <w:color w:val="000000" w:themeColor="text1"/>
          <w:u w:val="single" w:color="000000" w:themeColor="text1"/>
        </w:rPr>
        <w:t>; or</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ab/>
      </w:r>
      <w:r w:rsidRPr="001145CE">
        <w:rPr>
          <w:color w:val="000000" w:themeColor="text1"/>
          <w:u w:val="single" w:color="000000" w:themeColor="text1"/>
        </w:rPr>
        <w:t>(3)</w:t>
      </w:r>
      <w:r w:rsidRPr="001145CE">
        <w:rPr>
          <w:color w:val="000000" w:themeColor="text1"/>
          <w:u w:color="000000" w:themeColor="text1"/>
        </w:rPr>
        <w:tab/>
      </w:r>
      <w:r w:rsidRPr="001145CE">
        <w:rPr>
          <w:color w:val="000000" w:themeColor="text1"/>
          <w:u w:val="single" w:color="000000" w:themeColor="text1"/>
        </w:rPr>
        <w:t>0.325 ounces of any tobacco or mixture containing tobacco, however packaged, labeled, or named, which is likely intended or expected to be offered to or purchased by consumers to roll their own cigarettes</w:t>
      </w:r>
      <w:r w:rsidRPr="001145CE">
        <w:rPr>
          <w:color w:val="000000" w:themeColor="text1"/>
          <w:u w:color="000000" w:themeColor="text1"/>
        </w:rPr>
        <w:t>.”</w:t>
      </w: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28C0" w:rsidRPr="001145CE"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45CE">
        <w:rPr>
          <w:color w:val="000000" w:themeColor="text1"/>
          <w:u w:color="000000" w:themeColor="text1"/>
        </w:rPr>
        <w:t>SECTION</w:t>
      </w:r>
      <w:r w:rsidRPr="001145CE">
        <w:rPr>
          <w:color w:val="000000" w:themeColor="text1"/>
          <w:u w:color="000000" w:themeColor="text1"/>
        </w:rPr>
        <w:tab/>
        <w:t>2.</w:t>
      </w:r>
      <w:r w:rsidRPr="001145CE">
        <w:rPr>
          <w:color w:val="000000" w:themeColor="text1"/>
          <w:u w:color="000000" w:themeColor="text1"/>
        </w:rPr>
        <w:tab/>
        <w:t>(A)</w:t>
      </w:r>
      <w:r w:rsidRPr="001145CE">
        <w:rPr>
          <w:color w:val="000000" w:themeColor="text1"/>
          <w:u w:color="000000" w:themeColor="text1"/>
        </w:rPr>
        <w:tab/>
        <w:t>The Director of the Department of Revenue shall determine what barriers, if any, exist in the enforcement or collection of the cigarette tax, imposed pursuant to Sections 12</w:t>
      </w:r>
      <w:r>
        <w:rPr>
          <w:color w:val="000000" w:themeColor="text1"/>
          <w:u w:color="000000" w:themeColor="text1"/>
        </w:rPr>
        <w:noBreakHyphen/>
      </w:r>
      <w:r w:rsidRPr="001145CE">
        <w:rPr>
          <w:color w:val="000000" w:themeColor="text1"/>
          <w:u w:color="000000" w:themeColor="text1"/>
        </w:rPr>
        <w:t>21</w:t>
      </w:r>
      <w:r>
        <w:rPr>
          <w:color w:val="000000" w:themeColor="text1"/>
          <w:u w:color="000000" w:themeColor="text1"/>
        </w:rPr>
        <w:noBreakHyphen/>
      </w:r>
      <w:r w:rsidRPr="001145CE">
        <w:rPr>
          <w:color w:val="000000" w:themeColor="text1"/>
          <w:u w:color="000000" w:themeColor="text1"/>
        </w:rPr>
        <w:t>620 and 12</w:t>
      </w:r>
      <w:r>
        <w:rPr>
          <w:color w:val="000000" w:themeColor="text1"/>
          <w:u w:color="000000" w:themeColor="text1"/>
        </w:rPr>
        <w:noBreakHyphen/>
      </w:r>
      <w:r w:rsidRPr="001145CE">
        <w:rPr>
          <w:color w:val="000000" w:themeColor="text1"/>
          <w:u w:color="000000" w:themeColor="text1"/>
        </w:rPr>
        <w:t>21</w:t>
      </w:r>
      <w:r>
        <w:rPr>
          <w:color w:val="000000" w:themeColor="text1"/>
          <w:u w:color="000000" w:themeColor="text1"/>
        </w:rPr>
        <w:noBreakHyphen/>
      </w:r>
      <w:r w:rsidRPr="001145CE">
        <w:rPr>
          <w:color w:val="000000" w:themeColor="text1"/>
          <w:u w:color="000000" w:themeColor="text1"/>
        </w:rPr>
        <w:t>625 of the 1976 Code, or prosecution of cigarette tax violations and make recommendations to remove these barriers, including, but not limited to, legislation.</w:t>
      </w:r>
    </w:p>
    <w:p w:rsidR="001128C0"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145CE">
        <w:rPr>
          <w:color w:val="000000" w:themeColor="text1"/>
          <w:u w:color="000000" w:themeColor="text1"/>
        </w:rPr>
        <w:tab/>
        <w:t>(B)</w:t>
      </w:r>
      <w:r w:rsidRPr="001145CE">
        <w:rPr>
          <w:color w:val="000000" w:themeColor="text1"/>
          <w:u w:color="000000" w:themeColor="text1"/>
        </w:rPr>
        <w:tab/>
        <w:t>The director shall submit a report containing its findings and recommendations to the General Assembly by January 1, 201</w:t>
      </w:r>
      <w:r>
        <w:rPr>
          <w:color w:val="000000" w:themeColor="text1"/>
          <w:u w:color="000000" w:themeColor="text1"/>
        </w:rPr>
        <w:t>9</w:t>
      </w:r>
      <w:r w:rsidRPr="001145CE">
        <w:rPr>
          <w:color w:val="000000" w:themeColor="text1"/>
          <w:u w:color="000000" w:themeColor="text1"/>
        </w:rPr>
        <w:t>.</w:t>
      </w:r>
    </w:p>
    <w:p w:rsidR="001128C0"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875" w:rsidRDefault="001128C0" w:rsidP="001128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9648D0" w:rsidRDefault="001128C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4158" w:rsidRDefault="008B4158" w:rsidP="008B4158">
      <w:pPr>
        <w:suppressAutoHyphens/>
      </w:pPr>
    </w:p>
    <w:sectPr w:rsidR="008B4158" w:rsidSect="008B415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875" w:rsidRDefault="00392875" w:rsidP="009F0C77">
      <w:r>
        <w:separator/>
      </w:r>
    </w:p>
  </w:endnote>
  <w:endnote w:type="continuationSeparator" w:id="0">
    <w:p w:rsidR="00392875" w:rsidRDefault="0039287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0E9D07-D829-4EAC-8FAC-862FD9030EFC}"/>
    <w:embedBold r:id="rId2" w:fontKey="{0A16511B-28F5-448A-8BC1-81F634EE7C47}"/>
  </w:font>
  <w:font w:name="Calibri">
    <w:panose1 w:val="020F0502020204030204"/>
    <w:charset w:val="00"/>
    <w:family w:val="swiss"/>
    <w:pitch w:val="variable"/>
    <w:sig w:usb0="E00002FF" w:usb1="4000ACFF" w:usb2="00000001" w:usb3="00000000" w:csb0="0000019F" w:csb1="00000000"/>
    <w:embedRegular r:id="rId3" w:fontKey="{E305102D-E702-448E-9A0C-4B632BF74AC1}"/>
  </w:font>
  <w:font w:name="Segoe UI">
    <w:panose1 w:val="020B0502040204020203"/>
    <w:charset w:val="00"/>
    <w:family w:val="swiss"/>
    <w:pitch w:val="variable"/>
    <w:sig w:usb0="E10022FF" w:usb1="C000E47F" w:usb2="00000029" w:usb3="00000000" w:csb0="000001DF" w:csb1="00000000"/>
    <w:embedRegular r:id="rId4" w:fontKey="{1D924A67-103D-4C7A-A3FF-47AAD1227B58}"/>
  </w:font>
  <w:font w:name="Cambria">
    <w:panose1 w:val="02040503050406030204"/>
    <w:charset w:val="00"/>
    <w:family w:val="roman"/>
    <w:pitch w:val="variable"/>
    <w:sig w:usb0="E00002FF" w:usb1="400004FF" w:usb2="00000000" w:usb3="00000000" w:csb0="0000019F" w:csb1="00000000"/>
    <w:embedRegular r:id="rId5" w:fontKey="{460AB768-ADC4-4F2D-B9A2-5D97FE252C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158" w:rsidRPr="00742C72" w:rsidRDefault="008B4158" w:rsidP="00742C72">
    <w:pPr>
      <w:pStyle w:val="Footer"/>
      <w:tabs>
        <w:tab w:val="clear" w:pos="4680"/>
        <w:tab w:val="clear" w:pos="9360"/>
        <w:tab w:val="center" w:pos="2995"/>
      </w:tabs>
      <w:spacing w:before="120"/>
    </w:pPr>
    <w:r>
      <w:t>[3299]</w:t>
    </w:r>
    <w:r>
      <w:tab/>
    </w:r>
    <w:r>
      <w:fldChar w:fldCharType="begin"/>
    </w:r>
    <w:r>
      <w:instrText xml:space="preserve"> PAGE  \* MERGEFORMAT </w:instrText>
    </w:r>
    <w:r>
      <w:fldChar w:fldCharType="separate"/>
    </w:r>
    <w:r w:rsidR="00993F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875" w:rsidRDefault="00392875" w:rsidP="009F0C77">
      <w:r>
        <w:separator/>
      </w:r>
    </w:p>
  </w:footnote>
  <w:footnote w:type="continuationSeparator" w:id="0">
    <w:p w:rsidR="00392875" w:rsidRDefault="0039287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46VR19"/>
    <w:docVar w:name="CoverBillType" w:val="b"/>
    <w:docVar w:name="DocPath" w:val="L:\Council\bills\CC\15346VR19.DOCX"/>
    <w:docVar w:name="dvBillNumber" w:val="3299"/>
    <w:docVar w:name="dvBillNumberPrefix" w:val="H. "/>
    <w:docVar w:name="dvOriginalBody" w:val="House"/>
    <w:docVar w:name="dvSteno" w:val="CC"/>
    <w:docVar w:name="NameofBody" w:val="h"/>
    <w:docVar w:name="vGroup2" w:val="Council"/>
  </w:docVars>
  <w:rsids>
    <w:rsidRoot w:val="00392875"/>
    <w:rsid w:val="00011869"/>
    <w:rsid w:val="00015CD6"/>
    <w:rsid w:val="000E0100"/>
    <w:rsid w:val="000E1785"/>
    <w:rsid w:val="000F40FA"/>
    <w:rsid w:val="001035F1"/>
    <w:rsid w:val="0010776B"/>
    <w:rsid w:val="001128C0"/>
    <w:rsid w:val="00133E66"/>
    <w:rsid w:val="001435A3"/>
    <w:rsid w:val="00146ED3"/>
    <w:rsid w:val="00151044"/>
    <w:rsid w:val="001D08F2"/>
    <w:rsid w:val="001D3A58"/>
    <w:rsid w:val="001D525B"/>
    <w:rsid w:val="001D7F4F"/>
    <w:rsid w:val="001F01CA"/>
    <w:rsid w:val="00205238"/>
    <w:rsid w:val="002321B6"/>
    <w:rsid w:val="00250967"/>
    <w:rsid w:val="002543C8"/>
    <w:rsid w:val="0025541D"/>
    <w:rsid w:val="00264DBB"/>
    <w:rsid w:val="00284AAE"/>
    <w:rsid w:val="002E5912"/>
    <w:rsid w:val="00301B21"/>
    <w:rsid w:val="00325348"/>
    <w:rsid w:val="0032732C"/>
    <w:rsid w:val="00336AD0"/>
    <w:rsid w:val="0037079A"/>
    <w:rsid w:val="0039287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2C72"/>
    <w:rsid w:val="007A70AE"/>
    <w:rsid w:val="008362E8"/>
    <w:rsid w:val="0085786E"/>
    <w:rsid w:val="008A1768"/>
    <w:rsid w:val="008A489F"/>
    <w:rsid w:val="008B4158"/>
    <w:rsid w:val="008F0F33"/>
    <w:rsid w:val="008F4429"/>
    <w:rsid w:val="0094021A"/>
    <w:rsid w:val="009648D0"/>
    <w:rsid w:val="00993F45"/>
    <w:rsid w:val="009A15F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0CA"/>
    <w:rsid w:val="00BE3C22"/>
    <w:rsid w:val="00BF4958"/>
    <w:rsid w:val="00C0345E"/>
    <w:rsid w:val="00C31C95"/>
    <w:rsid w:val="00C3483A"/>
    <w:rsid w:val="00C74E9D"/>
    <w:rsid w:val="00C826DD"/>
    <w:rsid w:val="00C82FD3"/>
    <w:rsid w:val="00C92819"/>
    <w:rsid w:val="00CC6B7B"/>
    <w:rsid w:val="00CD2089"/>
    <w:rsid w:val="00D11AB0"/>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668"/>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99B6BA-1D36-4BCA-B714-826465D9D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56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5668"/>
    <w:rPr>
      <w:rFonts w:ascii="Segoe UI" w:eastAsia="Times New Roman" w:hAnsi="Segoe UI" w:cs="Segoe UI"/>
      <w:sz w:val="18"/>
      <w:szCs w:val="18"/>
    </w:rPr>
  </w:style>
  <w:style w:type="character" w:styleId="Hyperlink">
    <w:name w:val="Hyperlink"/>
    <w:basedOn w:val="DefaultParagraphFont"/>
    <w:uiPriority w:val="99"/>
    <w:unhideWhenUsed/>
    <w:rsid w:val="008B41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9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9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EE242B-088A-4218-A9AC-9889B3EE0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494</Words>
  <Characters>2633</Characters>
  <Application>Microsoft Office Word</Application>
  <DocSecurity>0</DocSecurity>
  <Lines>97</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3299: Cigarette surtax - South Carolina Legislature Online</dc:title>
  <dc:creator>Chris Charlton</dc:creator>
  <cp:lastModifiedBy>S Volk</cp:lastModifiedBy>
  <cp:revision>2</cp:revision>
  <cp:lastPrinted>2018-12-07T14:18:00Z</cp:lastPrinted>
  <dcterms:created xsi:type="dcterms:W3CDTF">2019-02-01T22:08:00Z</dcterms:created>
  <dcterms:modified xsi:type="dcterms:W3CDTF">2019-02-01T22:08:00Z</dcterms:modified>
</cp:coreProperties>
</file>