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AC5" w:rsidRDefault="009B5AC5" w:rsidP="009B5AC5">
      <w:pPr>
        <w:widowControl w:val="0"/>
        <w:jc w:val="center"/>
      </w:pPr>
      <w:r w:rsidRPr="009B5AC5">
        <w:rPr>
          <w:b/>
        </w:rPr>
        <w:t>South Carolina General Assembly</w:t>
      </w:r>
    </w:p>
    <w:p w:rsidR="009B5AC5" w:rsidRDefault="009B5AC5" w:rsidP="009B5AC5">
      <w:pPr>
        <w:widowControl w:val="0"/>
        <w:jc w:val="center"/>
      </w:pPr>
      <w:r>
        <w:t>123rd Session, 2019-2020</w:t>
      </w:r>
    </w:p>
    <w:p w:rsidR="009B5AC5" w:rsidRDefault="009B5AC5" w:rsidP="009B5AC5">
      <w:pPr>
        <w:widowControl w:val="0"/>
        <w:jc w:val="left"/>
      </w:pPr>
    </w:p>
    <w:p w:rsidR="009B5AC5" w:rsidRDefault="009B5AC5" w:rsidP="009B5AC5">
      <w:pPr>
        <w:widowControl w:val="0"/>
        <w:jc w:val="left"/>
        <w:rPr>
          <w:b/>
        </w:rPr>
      </w:pPr>
      <w:r w:rsidRPr="009B5AC5">
        <w:rPr>
          <w:b/>
        </w:rPr>
        <w:t>H. 3827</w:t>
      </w:r>
    </w:p>
    <w:p w:rsidR="009B5AC5" w:rsidRDefault="009B5AC5" w:rsidP="009B5AC5">
      <w:pPr>
        <w:widowControl w:val="0"/>
        <w:jc w:val="left"/>
        <w:rPr>
          <w:b/>
        </w:rPr>
      </w:pPr>
    </w:p>
    <w:p w:rsidR="009B5AC5" w:rsidRDefault="009B5AC5" w:rsidP="009B5AC5">
      <w:pPr>
        <w:widowControl w:val="0"/>
        <w:jc w:val="left"/>
      </w:pPr>
      <w:r w:rsidRPr="009B5AC5">
        <w:rPr>
          <w:b/>
        </w:rPr>
        <w:t>STATUS INFORMATION</w:t>
      </w:r>
    </w:p>
    <w:p w:rsidR="009B5AC5" w:rsidRDefault="009B5AC5" w:rsidP="009B5AC5">
      <w:pPr>
        <w:widowControl w:val="0"/>
        <w:jc w:val="left"/>
      </w:pPr>
    </w:p>
    <w:p w:rsidR="009B5AC5" w:rsidRDefault="009B5AC5" w:rsidP="009B5AC5">
      <w:pPr>
        <w:widowControl w:val="0"/>
        <w:jc w:val="left"/>
      </w:pPr>
      <w:r>
        <w:t>General Bill</w:t>
      </w:r>
    </w:p>
    <w:p w:rsidR="009B5AC5" w:rsidRDefault="008200B0" w:rsidP="009B5AC5">
      <w:pPr>
        <w:widowControl w:val="0"/>
        <w:jc w:val="left"/>
      </w:pPr>
      <w:r>
        <w:t>Sponsors: Reps. Pope, Taylor, Yow, McCravy, Bryant, Fry, W. Newton, Clary, Caskey, B. Newton, Johnson, Simrill, Young, Bennett, Norrell, Elliott, Daning, West, Magnuson, Hardee, Lucas, Blackwell, Forrest, Gagnon, Gilliam, Hixon, Mace, D.C. Moss, Tallon, Bamberg, Erickson, Bradley and Davis</w:t>
      </w:r>
    </w:p>
    <w:p w:rsidR="009B5AC5" w:rsidRDefault="009B5AC5" w:rsidP="009B5AC5">
      <w:pPr>
        <w:widowControl w:val="0"/>
        <w:jc w:val="left"/>
      </w:pPr>
      <w:r>
        <w:t>Document Path: l:\council\bills\bh\7093ahb19.docx</w:t>
      </w:r>
    </w:p>
    <w:p w:rsidR="00A67F53" w:rsidRDefault="00A67F53" w:rsidP="009B5AC5">
      <w:pPr>
        <w:widowControl w:val="0"/>
        <w:jc w:val="left"/>
      </w:pPr>
      <w:r>
        <w:t>Companion/Similar bill(s): 444</w:t>
      </w:r>
    </w:p>
    <w:p w:rsidR="009B5AC5" w:rsidRDefault="009B5AC5" w:rsidP="009B5AC5">
      <w:pPr>
        <w:widowControl w:val="0"/>
        <w:jc w:val="left"/>
      </w:pPr>
    </w:p>
    <w:p w:rsidR="009B5AC5" w:rsidRDefault="009B5AC5" w:rsidP="009B5AC5">
      <w:pPr>
        <w:widowControl w:val="0"/>
        <w:jc w:val="left"/>
      </w:pPr>
      <w:r>
        <w:t>Introduced in the House on January 31, 2019</w:t>
      </w:r>
    </w:p>
    <w:p w:rsidR="009B5AC5" w:rsidRDefault="009B5AC5" w:rsidP="009B5AC5">
      <w:pPr>
        <w:widowControl w:val="0"/>
        <w:jc w:val="left"/>
      </w:pPr>
      <w:r>
        <w:t xml:space="preserve">Currently residing in the House Committee on </w:t>
      </w:r>
      <w:r w:rsidRPr="009B5AC5">
        <w:rPr>
          <w:b/>
        </w:rPr>
        <w:t>Judiciary</w:t>
      </w:r>
    </w:p>
    <w:p w:rsidR="009B5AC5" w:rsidRDefault="009B5AC5" w:rsidP="009B5AC5">
      <w:pPr>
        <w:widowControl w:val="0"/>
        <w:jc w:val="left"/>
      </w:pPr>
    </w:p>
    <w:p w:rsidR="009B5AC5" w:rsidRDefault="009B5AC5" w:rsidP="009B5AC5">
      <w:pPr>
        <w:widowControl w:val="0"/>
        <w:jc w:val="left"/>
      </w:pPr>
      <w:r>
        <w:t xml:space="preserve">Summary: </w:t>
      </w:r>
      <w:r w:rsidR="00237ECB">
        <w:t>Circuit court docket</w:t>
      </w:r>
    </w:p>
    <w:p w:rsidR="009B5AC5" w:rsidRDefault="009B5AC5" w:rsidP="009B5AC5">
      <w:pPr>
        <w:widowControl w:val="0"/>
        <w:jc w:val="left"/>
      </w:pPr>
    </w:p>
    <w:p w:rsidR="009B5AC5" w:rsidRDefault="009B5AC5" w:rsidP="009B5AC5">
      <w:pPr>
        <w:widowControl w:val="0"/>
        <w:jc w:val="left"/>
      </w:pPr>
    </w:p>
    <w:p w:rsidR="009B5AC5" w:rsidRDefault="009B5AC5" w:rsidP="009B5AC5">
      <w:pPr>
        <w:widowControl w:val="0"/>
        <w:tabs>
          <w:tab w:val="center" w:pos="590"/>
          <w:tab w:val="center" w:pos="1440"/>
          <w:tab w:val="left" w:pos="1872"/>
          <w:tab w:val="left" w:pos="9187"/>
        </w:tabs>
        <w:jc w:val="left"/>
      </w:pPr>
      <w:r w:rsidRPr="009B5AC5">
        <w:rPr>
          <w:b/>
        </w:rPr>
        <w:t>HISTORY OF LEGISLATIVE ACTIONS</w:t>
      </w:r>
    </w:p>
    <w:p w:rsidR="009B5AC5" w:rsidRDefault="009B5AC5" w:rsidP="009B5AC5">
      <w:pPr>
        <w:widowControl w:val="0"/>
        <w:tabs>
          <w:tab w:val="center" w:pos="590"/>
          <w:tab w:val="center" w:pos="1440"/>
          <w:tab w:val="left" w:pos="1872"/>
          <w:tab w:val="left" w:pos="9187"/>
        </w:tabs>
        <w:jc w:val="left"/>
      </w:pPr>
    </w:p>
    <w:p w:rsidR="009B5AC5" w:rsidRPr="009B5AC5" w:rsidRDefault="009B5AC5" w:rsidP="009B5AC5">
      <w:pPr>
        <w:widowControl w:val="0"/>
        <w:tabs>
          <w:tab w:val="center" w:pos="590"/>
          <w:tab w:val="center" w:pos="1440"/>
          <w:tab w:val="left" w:pos="1872"/>
          <w:tab w:val="left" w:pos="9187"/>
        </w:tabs>
        <w:jc w:val="left"/>
      </w:pPr>
      <w:r w:rsidRPr="009B5AC5">
        <w:rPr>
          <w:u w:val="single"/>
        </w:rPr>
        <w:tab/>
        <w:t>Date</w:t>
      </w:r>
      <w:r w:rsidRPr="009B5AC5">
        <w:rPr>
          <w:u w:val="single"/>
        </w:rPr>
        <w:tab/>
        <w:t>Body</w:t>
      </w:r>
      <w:r w:rsidRPr="009B5AC5">
        <w:rPr>
          <w:u w:val="single"/>
        </w:rPr>
        <w:tab/>
        <w:t>Action Description with journal page number</w:t>
      </w:r>
      <w:r w:rsidRPr="009B5AC5">
        <w:rPr>
          <w:u w:val="single"/>
        </w:rPr>
        <w:tab/>
      </w:r>
    </w:p>
    <w:p w:rsidR="008200B0" w:rsidRDefault="008200B0" w:rsidP="008200B0">
      <w:pPr>
        <w:widowControl w:val="0"/>
        <w:tabs>
          <w:tab w:val="right" w:pos="1008"/>
          <w:tab w:val="left" w:pos="1152"/>
          <w:tab w:val="left" w:pos="1872"/>
          <w:tab w:val="left" w:pos="9187"/>
        </w:tabs>
        <w:ind w:left="2088" w:hanging="2088"/>
      </w:pPr>
      <w:r>
        <w:tab/>
        <w:t>1/31/2019</w:t>
      </w:r>
      <w:r>
        <w:tab/>
        <w:t>House</w:t>
      </w:r>
      <w:r>
        <w:tab/>
      </w:r>
      <w:r w:rsidRPr="008179E0">
        <w:t>Introduced and read first time (</w:t>
      </w:r>
      <w:hyperlink r:id="rId7" w:history="1">
        <w:r w:rsidRPr="008179E0">
          <w:rPr>
            <w:rStyle w:val="Hyperlink"/>
          </w:rPr>
          <w:t>House Journal</w:t>
        </w:r>
        <w:r w:rsidRPr="008179E0">
          <w:rPr>
            <w:rStyle w:val="Hyperlink"/>
          </w:rPr>
          <w:noBreakHyphen/>
          <w:t>page 57</w:t>
        </w:r>
      </w:hyperlink>
      <w:r w:rsidRPr="008179E0">
        <w:t>)</w:t>
      </w:r>
    </w:p>
    <w:p w:rsidR="008200B0" w:rsidRDefault="008200B0" w:rsidP="008200B0">
      <w:pPr>
        <w:widowControl w:val="0"/>
        <w:tabs>
          <w:tab w:val="right" w:pos="1008"/>
          <w:tab w:val="left" w:pos="1152"/>
          <w:tab w:val="left" w:pos="1872"/>
          <w:tab w:val="left" w:pos="9187"/>
        </w:tabs>
        <w:ind w:left="2088" w:hanging="2088"/>
      </w:pPr>
      <w:r>
        <w:tab/>
        <w:t>1/31/2019</w:t>
      </w:r>
      <w:r>
        <w:tab/>
        <w:t>House</w:t>
      </w:r>
      <w:r>
        <w:tab/>
      </w:r>
      <w:r w:rsidRPr="008179E0">
        <w:t>Ref</w:t>
      </w:r>
      <w:r>
        <w:t xml:space="preserve">erred to Committee on </w:t>
      </w:r>
      <w:r w:rsidRPr="008179E0">
        <w:rPr>
          <w:b/>
        </w:rPr>
        <w:t>Judiciary</w:t>
      </w:r>
      <w:r>
        <w:t xml:space="preserve"> </w:t>
      </w:r>
      <w:r w:rsidRPr="008179E0">
        <w:t>(</w:t>
      </w:r>
      <w:hyperlink r:id="rId8" w:history="1">
        <w:r w:rsidRPr="008179E0">
          <w:rPr>
            <w:rStyle w:val="Hyperlink"/>
          </w:rPr>
          <w:t>House Journal</w:t>
        </w:r>
        <w:r w:rsidRPr="008179E0">
          <w:rPr>
            <w:rStyle w:val="Hyperlink"/>
          </w:rPr>
          <w:noBreakHyphen/>
          <w:t>page 57</w:t>
        </w:r>
      </w:hyperlink>
      <w:r w:rsidRPr="008179E0">
        <w:t>)</w:t>
      </w:r>
    </w:p>
    <w:p w:rsidR="008200B0" w:rsidRDefault="008200B0" w:rsidP="008200B0">
      <w:pPr>
        <w:widowControl w:val="0"/>
        <w:tabs>
          <w:tab w:val="right" w:pos="1008"/>
          <w:tab w:val="left" w:pos="1152"/>
          <w:tab w:val="left" w:pos="1872"/>
          <w:tab w:val="left" w:pos="9187"/>
        </w:tabs>
        <w:ind w:left="2088" w:hanging="2088"/>
      </w:pPr>
      <w:r>
        <w:tab/>
        <w:t>2/5/2019</w:t>
      </w:r>
      <w:r>
        <w:tab/>
        <w:t>House</w:t>
      </w:r>
      <w:r>
        <w:tab/>
      </w:r>
      <w:r w:rsidRPr="008179E0">
        <w:t>Member(s) request name added as sponsor: Bamberg</w:t>
      </w:r>
    </w:p>
    <w:p w:rsidR="008200B0" w:rsidRDefault="008200B0" w:rsidP="008200B0">
      <w:pPr>
        <w:widowControl w:val="0"/>
        <w:tabs>
          <w:tab w:val="right" w:pos="1008"/>
          <w:tab w:val="left" w:pos="1152"/>
          <w:tab w:val="left" w:pos="1872"/>
          <w:tab w:val="left" w:pos="9187"/>
        </w:tabs>
        <w:ind w:left="2088" w:hanging="2088"/>
      </w:pPr>
      <w:r>
        <w:tab/>
        <w:t>2/6/2019</w:t>
      </w:r>
      <w:r>
        <w:tab/>
        <w:t>House</w:t>
      </w:r>
      <w:r>
        <w:tab/>
      </w:r>
      <w:r w:rsidRPr="008179E0">
        <w:t>Member(s)</w:t>
      </w:r>
      <w:r>
        <w:t xml:space="preserve"> request name added as sponsor: </w:t>
      </w:r>
      <w:r w:rsidRPr="008179E0">
        <w:t>Erickson, Bradley</w:t>
      </w:r>
    </w:p>
    <w:p w:rsidR="008200B0" w:rsidRDefault="008200B0" w:rsidP="008200B0">
      <w:pPr>
        <w:widowControl w:val="0"/>
        <w:tabs>
          <w:tab w:val="right" w:pos="1008"/>
          <w:tab w:val="left" w:pos="1152"/>
          <w:tab w:val="left" w:pos="1872"/>
          <w:tab w:val="left" w:pos="9187"/>
        </w:tabs>
        <w:ind w:left="2088" w:hanging="2088"/>
      </w:pPr>
      <w:r>
        <w:tab/>
        <w:t>2/12/2019</w:t>
      </w:r>
      <w:r>
        <w:tab/>
        <w:t>House</w:t>
      </w:r>
      <w:r>
        <w:tab/>
      </w:r>
      <w:r w:rsidRPr="008179E0">
        <w:t>Member(s) request name added as sponsor: Davis</w:t>
      </w:r>
    </w:p>
    <w:p w:rsidR="008200B0" w:rsidRDefault="008200B0" w:rsidP="008200B0">
      <w:pPr>
        <w:widowControl w:val="0"/>
        <w:tabs>
          <w:tab w:val="right" w:pos="1008"/>
          <w:tab w:val="left" w:pos="1152"/>
          <w:tab w:val="left" w:pos="1872"/>
          <w:tab w:val="left" w:pos="9187"/>
        </w:tabs>
        <w:ind w:left="2088" w:hanging="2088"/>
      </w:pPr>
    </w:p>
    <w:p w:rsidR="009B5AC5" w:rsidRDefault="009B5AC5" w:rsidP="009B5AC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B5AC5">
          <w:rPr>
            <w:rStyle w:val="Hyperlink"/>
          </w:rPr>
          <w:t>legislative information</w:t>
        </w:r>
      </w:hyperlink>
      <w:r>
        <w:t xml:space="preserve"> at the website</w:t>
      </w:r>
    </w:p>
    <w:p w:rsidR="009B5AC5" w:rsidRDefault="009B5AC5" w:rsidP="009B5AC5">
      <w:pPr>
        <w:widowControl w:val="0"/>
        <w:tabs>
          <w:tab w:val="right" w:pos="1008"/>
          <w:tab w:val="left" w:pos="1152"/>
          <w:tab w:val="left" w:pos="1872"/>
          <w:tab w:val="left" w:pos="9187"/>
        </w:tabs>
        <w:ind w:left="2088" w:hanging="2088"/>
        <w:jc w:val="left"/>
      </w:pPr>
    </w:p>
    <w:p w:rsidR="009B5AC5" w:rsidRPr="009B5AC5" w:rsidRDefault="009B5AC5" w:rsidP="009B5AC5">
      <w:pPr>
        <w:widowControl w:val="0"/>
        <w:tabs>
          <w:tab w:val="right" w:pos="1008"/>
          <w:tab w:val="left" w:pos="1152"/>
          <w:tab w:val="left" w:pos="1872"/>
          <w:tab w:val="left" w:pos="9187"/>
        </w:tabs>
        <w:ind w:left="2088" w:hanging="2088"/>
        <w:jc w:val="left"/>
      </w:pPr>
    </w:p>
    <w:p w:rsidR="009B5AC5" w:rsidRDefault="009B5AC5" w:rsidP="009B5AC5">
      <w:pPr>
        <w:widowControl w:val="0"/>
        <w:jc w:val="left"/>
      </w:pPr>
      <w:r w:rsidRPr="009B5AC5">
        <w:rPr>
          <w:b/>
        </w:rPr>
        <w:t>VERSIONS OF THIS BILL</w:t>
      </w:r>
    </w:p>
    <w:p w:rsidR="009B5AC5" w:rsidRDefault="009B5AC5" w:rsidP="009B5AC5">
      <w:pPr>
        <w:widowControl w:val="0"/>
        <w:jc w:val="left"/>
      </w:pPr>
    </w:p>
    <w:p w:rsidR="009B5AC5" w:rsidRDefault="008D26B9" w:rsidP="009B5AC5">
      <w:pPr>
        <w:widowControl w:val="0"/>
        <w:jc w:val="left"/>
      </w:pPr>
      <w:hyperlink r:id="rId10" w:history="1">
        <w:r w:rsidR="009B5AC5">
          <w:rPr>
            <w:rStyle w:val="Hyperlink"/>
          </w:rPr>
          <w:t>1/31/2019</w:t>
        </w:r>
      </w:hyperlink>
    </w:p>
    <w:p w:rsidR="009B5AC5" w:rsidRDefault="009B5AC5" w:rsidP="009B5AC5"/>
    <w:p w:rsidR="009B5AC5" w:rsidRDefault="009B5AC5" w:rsidP="009B5AC5">
      <w:pPr>
        <w:sectPr w:rsidR="009B5AC5" w:rsidSect="009B5AC5">
          <w:pgSz w:w="12240" w:h="15840" w:code="1"/>
          <w:pgMar w:top="1080" w:right="1440" w:bottom="1080" w:left="1440" w:header="720" w:footer="720" w:gutter="0"/>
          <w:cols w:space="720"/>
          <w:noEndnote/>
          <w:docGrid w:linePitch="360"/>
        </w:sectPr>
      </w:pPr>
    </w:p>
    <w:p w:rsidR="00C37C48" w:rsidRDefault="00C37C48"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0BC" w:rsidRDefault="004220BC" w:rsidP="004220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7C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D02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53F6">
        <w:rPr>
          <w:color w:val="000000" w:themeColor="text1"/>
          <w:u w:color="000000" w:themeColor="text1"/>
        </w:rPr>
        <w:t>TO AMEND 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sidRPr="00A853F6">
        <w:rPr>
          <w:color w:val="000000" w:themeColor="text1"/>
          <w:u w:color="000000" w:themeColor="text1"/>
        </w:rPr>
        <w:t>330, CODE OF LAWS OF SOUTH CAROLINA, 1976, RELATING TO ATTENDANCE AT CIRCUIT COURT AND PREPARATION AND PUBLICATION OF THE DOCKET, SO AS TO CLARIFY THE ROLE OF THE CIRCUIT SOLICITOR IN THE DEVELOPMENT, DISSEMINATION, AND EXECUTION OF THE GENERAL SESSIONS COURT DOCKET PLAN; TO PROVIDE THAT THE ABILITY OF THE CIRCUIT SOLICITOR TO ADMINISTER THE DOCKET MAY NOT INTERFERE WITH A DEFENDANT</w:t>
      </w:r>
      <w:r w:rsidR="00EA3106" w:rsidRPr="00EA3106">
        <w:rPr>
          <w:color w:val="000000" w:themeColor="text1"/>
          <w:u w:color="000000" w:themeColor="text1"/>
        </w:rPr>
        <w:t>’</w:t>
      </w:r>
      <w:r w:rsidRPr="00A853F6">
        <w:rPr>
          <w:color w:val="000000" w:themeColor="text1"/>
          <w:u w:color="000000" w:themeColor="text1"/>
        </w:rPr>
        <w:t>S RIGHT TO A SPEEDY TRIAL; TO ALLOW FOR THE CIRCUIT COURT TO RULE ON CASES AND CONTROVERSIES ARISING FROM THE ADMINISTRATION OF THE DOCKET</w:t>
      </w:r>
      <w:r w:rsidR="00FE4126">
        <w:rPr>
          <w:color w:val="000000" w:themeColor="text1"/>
          <w:u w:color="000000" w:themeColor="text1"/>
        </w:rPr>
        <w:t>;</w:t>
      </w:r>
      <w:r w:rsidRPr="00A853F6">
        <w:rPr>
          <w:color w:val="000000" w:themeColor="text1"/>
          <w:u w:color="000000" w:themeColor="text1"/>
        </w:rPr>
        <w:t xml:space="preserve"> AND TO PRESERVE ALL CRIME VICTIMS</w:t>
      </w:r>
      <w:r w:rsidR="00EA3106" w:rsidRPr="00EA3106">
        <w:rPr>
          <w:color w:val="000000" w:themeColor="text1"/>
          <w:u w:color="000000" w:themeColor="text1"/>
        </w:rPr>
        <w:t>’</w:t>
      </w:r>
      <w:r w:rsidRPr="00A853F6">
        <w:rPr>
          <w:color w:val="000000" w:themeColor="text1"/>
          <w:u w:color="000000" w:themeColor="text1"/>
        </w:rPr>
        <w:t xml:space="preserve"> CONSTITUTIONAL RIGHTS.</w:t>
      </w:r>
      <w:r w:rsidR="00F23242">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pursuant to the South Carolina Constitution, 1895, it is the legislature</w:t>
      </w:r>
      <w:r w:rsidR="00EA3106" w:rsidRPr="00EA3106">
        <w:rPr>
          <w:color w:val="000000" w:themeColor="text1"/>
          <w:u w:color="000000" w:themeColor="text1"/>
        </w:rPr>
        <w:t>’</w:t>
      </w:r>
      <w:r w:rsidRPr="00A853F6">
        <w:rPr>
          <w:color w:val="000000" w:themeColor="text1"/>
          <w:u w:color="000000" w:themeColor="text1"/>
        </w:rPr>
        <w:t>s responsibility to establish laws concerning South Carolina</w:t>
      </w:r>
      <w:r w:rsidR="00EA3106" w:rsidRPr="00EA3106">
        <w:rPr>
          <w:color w:val="000000" w:themeColor="text1"/>
          <w:u w:color="000000" w:themeColor="text1"/>
        </w:rPr>
        <w:t>’</w:t>
      </w:r>
      <w:r w:rsidRPr="00A853F6">
        <w:rPr>
          <w:color w:val="000000" w:themeColor="text1"/>
          <w:u w:color="000000" w:themeColor="text1"/>
        </w:rPr>
        <w:t xml:space="preserve">s criminal justice system; and </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judicial branch of government, as represented by the courts of this State, should be independent and rule on cases and controversies properly before it;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the executive branch of government, as represented by the state</w:t>
      </w:r>
      <w:r w:rsidR="00EA3106" w:rsidRPr="00EA3106">
        <w:rPr>
          <w:color w:val="000000" w:themeColor="text1"/>
          <w:u w:color="000000" w:themeColor="text1"/>
        </w:rPr>
        <w:t>’</w:t>
      </w:r>
      <w:r w:rsidRPr="00A853F6">
        <w:rPr>
          <w:color w:val="000000" w:themeColor="text1"/>
          <w:u w:color="000000" w:themeColor="text1"/>
        </w:rPr>
        <w:t xml:space="preserve">s </w:t>
      </w:r>
      <w:r w:rsidR="00D55636">
        <w:rPr>
          <w:color w:val="000000" w:themeColor="text1"/>
          <w:u w:color="000000" w:themeColor="text1"/>
        </w:rPr>
        <w:t xml:space="preserve">elected </w:t>
      </w:r>
      <w:r w:rsidRPr="00A853F6">
        <w:rPr>
          <w:color w:val="000000" w:themeColor="text1"/>
          <w:u w:color="000000" w:themeColor="text1"/>
        </w:rPr>
        <w:t>circuit solicitors, is directly accountable to the people of South Carolina;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General Assembly finds that developing and publishing a plan to properly proceed with the state</w:t>
      </w:r>
      <w:r w:rsidR="00EA3106" w:rsidRPr="00EA3106">
        <w:rPr>
          <w:color w:val="000000" w:themeColor="text1"/>
          <w:u w:color="000000" w:themeColor="text1"/>
        </w:rPr>
        <w:t>’</w:t>
      </w:r>
      <w:r w:rsidRPr="00A853F6">
        <w:rPr>
          <w:color w:val="000000" w:themeColor="text1"/>
          <w:u w:color="000000" w:themeColor="text1"/>
        </w:rPr>
        <w:t>s criminal prosecutions, preparing the general sessions docket for the state</w:t>
      </w:r>
      <w:r w:rsidR="00EA3106" w:rsidRPr="00EA3106">
        <w:rPr>
          <w:color w:val="000000" w:themeColor="text1"/>
          <w:u w:color="000000" w:themeColor="text1"/>
        </w:rPr>
        <w:t>’</w:t>
      </w:r>
      <w:r w:rsidRPr="00A853F6">
        <w:rPr>
          <w:color w:val="000000" w:themeColor="text1"/>
          <w:u w:color="000000" w:themeColor="text1"/>
        </w:rPr>
        <w:t xml:space="preserve">s </w:t>
      </w:r>
      <w:r w:rsidR="00FE4126">
        <w:rPr>
          <w:color w:val="000000" w:themeColor="text1"/>
          <w:u w:color="000000" w:themeColor="text1"/>
        </w:rPr>
        <w:lastRenderedPageBreak/>
        <w:t xml:space="preserve">prosecutions, </w:t>
      </w:r>
      <w:r w:rsidRPr="00A853F6">
        <w:rPr>
          <w:color w:val="000000" w:themeColor="text1"/>
          <w:u w:color="000000" w:themeColor="text1"/>
        </w:rPr>
        <w:t>and determining the order in which the docketed cases are called is an executive function of the government properly performed by the elected circuit solicitor;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 xml:space="preserve">Whereas, the executive branch of government, as represented by the </w:t>
      </w:r>
      <w:r w:rsidR="00D55636">
        <w:rPr>
          <w:color w:val="000000" w:themeColor="text1"/>
          <w:u w:color="000000" w:themeColor="text1"/>
        </w:rPr>
        <w:t xml:space="preserve">elected </w:t>
      </w:r>
      <w:r w:rsidRPr="00A853F6">
        <w:rPr>
          <w:color w:val="000000" w:themeColor="text1"/>
          <w:u w:color="000000" w:themeColor="text1"/>
        </w:rPr>
        <w:t>circuit solicitor, when exercising a discretionary official act such as preparing the general sessions court docket and determining the order in which docketed cases are called, should not be restrained or controlled by another branch of government; and</w:t>
      </w:r>
    </w:p>
    <w:p w:rsidR="00D55636" w:rsidRDefault="00D55636"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burden of proof is upon the State to establish the guilt of a defendant beyond a reasonable doubt and is a responsibility delegated to the </w:t>
      </w:r>
      <w:r w:rsidR="00F65E5A">
        <w:rPr>
          <w:color w:val="000000" w:themeColor="text1"/>
          <w:u w:color="000000" w:themeColor="text1"/>
        </w:rPr>
        <w:t>ci</w:t>
      </w:r>
      <w:r w:rsidRPr="007B216A">
        <w:rPr>
          <w:color w:val="000000" w:themeColor="text1"/>
          <w:u w:color="000000" w:themeColor="text1"/>
        </w:rPr>
        <w:t xml:space="preserve">rcuit </w:t>
      </w:r>
      <w:r w:rsidR="00F65E5A">
        <w:rPr>
          <w:color w:val="000000" w:themeColor="text1"/>
          <w:u w:color="000000" w:themeColor="text1"/>
        </w:rPr>
        <w:t>s</w:t>
      </w:r>
      <w:r w:rsidR="00474E32">
        <w:rPr>
          <w:color w:val="000000" w:themeColor="text1"/>
          <w:u w:color="000000" w:themeColor="text1"/>
        </w:rPr>
        <w:t>olicitor as a c</w:t>
      </w:r>
      <w:r w:rsidRPr="007B216A">
        <w:rPr>
          <w:color w:val="000000" w:themeColor="text1"/>
          <w:u w:color="000000" w:themeColor="text1"/>
        </w:rPr>
        <w:t xml:space="preserve">onstitutional </w:t>
      </w:r>
      <w:r w:rsidR="00474E32">
        <w:rPr>
          <w:color w:val="000000" w:themeColor="text1"/>
          <w:u w:color="000000" w:themeColor="text1"/>
        </w:rPr>
        <w:t>o</w:t>
      </w:r>
      <w:r w:rsidRPr="007B216A">
        <w:rPr>
          <w:color w:val="000000" w:themeColor="text1"/>
          <w:u w:color="000000" w:themeColor="text1"/>
        </w:rPr>
        <w:t>fficer of this State; and</w:t>
      </w:r>
      <w:r w:rsidR="00F23242">
        <w:rPr>
          <w:color w:val="000000" w:themeColor="text1"/>
          <w:u w:color="000000" w:themeColor="text1"/>
        </w:rPr>
        <w:t xml:space="preserve"> </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Whereas</w:t>
      </w:r>
      <w:r>
        <w:rPr>
          <w:color w:val="000000" w:themeColor="text1"/>
          <w:u w:color="000000" w:themeColor="text1"/>
        </w:rPr>
        <w:t xml:space="preserve">, </w:t>
      </w:r>
      <w:r w:rsidRPr="007B216A">
        <w:rPr>
          <w:color w:val="000000" w:themeColor="text1"/>
          <w:u w:color="000000" w:themeColor="text1"/>
        </w:rPr>
        <w:t xml:space="preserve">the </w:t>
      </w:r>
      <w:r w:rsidR="00F65E5A">
        <w:rPr>
          <w:color w:val="000000" w:themeColor="text1"/>
          <w:u w:color="000000" w:themeColor="text1"/>
        </w:rPr>
        <w:t>c</w:t>
      </w:r>
      <w:r w:rsidRPr="007B216A">
        <w:rPr>
          <w:color w:val="000000" w:themeColor="text1"/>
          <w:u w:color="000000" w:themeColor="text1"/>
        </w:rPr>
        <w:t xml:space="preserve">ircuit </w:t>
      </w:r>
      <w:r w:rsidR="00F65E5A">
        <w:rPr>
          <w:color w:val="000000" w:themeColor="text1"/>
          <w:u w:color="000000" w:themeColor="text1"/>
        </w:rPr>
        <w:t>s</w:t>
      </w:r>
      <w:r w:rsidRPr="007B216A">
        <w:rPr>
          <w:color w:val="000000" w:themeColor="text1"/>
          <w:u w:color="000000" w:themeColor="text1"/>
        </w:rPr>
        <w:t>olicitor is the most knowledgeable concerning the status of cases and, in particular, whether multiple defendants or charges are a result of connected transactions, which affects the timing and order cases should most effectively be placed on the docket to maximize available court terms; and</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216A">
        <w:rPr>
          <w:color w:val="000000" w:themeColor="text1"/>
          <w:u w:color="000000" w:themeColor="text1"/>
        </w:rPr>
        <w:t xml:space="preserve">Whereas, the </w:t>
      </w:r>
      <w:r w:rsidR="00F65E5A">
        <w:rPr>
          <w:color w:val="000000" w:themeColor="text1"/>
          <w:u w:color="000000" w:themeColor="text1"/>
        </w:rPr>
        <w:t>c</w:t>
      </w:r>
      <w:r w:rsidRPr="007B216A">
        <w:rPr>
          <w:color w:val="000000" w:themeColor="text1"/>
          <w:u w:color="000000" w:themeColor="text1"/>
        </w:rPr>
        <w:t xml:space="preserve">ircuit </w:t>
      </w:r>
      <w:r w:rsidR="00F65E5A">
        <w:rPr>
          <w:color w:val="000000" w:themeColor="text1"/>
          <w:u w:color="000000" w:themeColor="text1"/>
        </w:rPr>
        <w:t>s</w:t>
      </w:r>
      <w:r w:rsidRPr="007B216A">
        <w:rPr>
          <w:color w:val="000000" w:themeColor="text1"/>
          <w:u w:color="000000" w:themeColor="text1"/>
        </w:rPr>
        <w:t xml:space="preserve">olicitor also manages unique challenges in each case affecting the ability to proceed to trial if placed on the docket </w:t>
      </w:r>
      <w:r>
        <w:rPr>
          <w:color w:val="000000" w:themeColor="text1"/>
          <w:u w:color="000000" w:themeColor="text1"/>
        </w:rPr>
        <w:t xml:space="preserve">including locating, subpoenaing, </w:t>
      </w:r>
      <w:r w:rsidRPr="007B216A">
        <w:rPr>
          <w:color w:val="000000" w:themeColor="text1"/>
          <w:u w:color="000000" w:themeColor="text1"/>
        </w:rPr>
        <w:t>and marshaling victims, law enforcement officers, eyewitnesses, experts</w:t>
      </w:r>
      <w:r>
        <w:rPr>
          <w:color w:val="000000" w:themeColor="text1"/>
          <w:u w:color="000000" w:themeColor="text1"/>
        </w:rPr>
        <w:t>,</w:t>
      </w:r>
      <w:r w:rsidRPr="007B216A">
        <w:rPr>
          <w:color w:val="000000" w:themeColor="text1"/>
          <w:u w:color="000000" w:themeColor="text1"/>
        </w:rPr>
        <w:t xml:space="preserve"> an</w:t>
      </w:r>
      <w:r w:rsidR="00474E32">
        <w:rPr>
          <w:color w:val="000000" w:themeColor="text1"/>
          <w:u w:color="000000" w:themeColor="text1"/>
        </w:rPr>
        <w:t>d other witnesses, many of whom</w:t>
      </w:r>
      <w:r w:rsidRPr="007B216A">
        <w:rPr>
          <w:color w:val="000000" w:themeColor="text1"/>
          <w:u w:color="000000" w:themeColor="text1"/>
        </w:rPr>
        <w:t xml:space="preserve"> are noncompliant or hostile; and</w:t>
      </w:r>
    </w:p>
    <w:p w:rsidR="00D55636" w:rsidRPr="007B216A" w:rsidRDefault="00D55636" w:rsidP="00D556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Whereas, the trial court retains the ultimate authority to determine whether a case called by the circuit solicitor will be tried at a particular juncture by ruling on motions or objections properly before it.</w:t>
      </w:r>
      <w:r w:rsidR="00F23242">
        <w:rPr>
          <w:color w:val="000000" w:themeColor="text1"/>
          <w:u w:color="000000" w:themeColor="text1"/>
        </w:rPr>
        <w:t xml:space="preserve"> </w:t>
      </w:r>
      <w:r w:rsidRPr="00A853F6">
        <w:rPr>
          <w:color w:val="000000" w:themeColor="text1"/>
          <w:u w:color="000000" w:themeColor="text1"/>
        </w:rPr>
        <w:t>The trial court also retains the ultimate authority of granting speedy trial</w:t>
      </w:r>
      <w:r w:rsidR="00D55636">
        <w:rPr>
          <w:color w:val="000000" w:themeColor="text1"/>
          <w:u w:color="000000" w:themeColor="text1"/>
        </w:rPr>
        <w:t>s</w:t>
      </w:r>
      <w:r w:rsidRPr="00A853F6">
        <w:rPr>
          <w:color w:val="000000" w:themeColor="text1"/>
          <w:u w:color="000000" w:themeColor="text1"/>
        </w:rPr>
        <w:t xml:space="preserve"> upon proper motion.</w:t>
      </w:r>
      <w:r w:rsidR="00F23242">
        <w:rPr>
          <w:color w:val="000000" w:themeColor="text1"/>
          <w:u w:color="000000" w:themeColor="text1"/>
        </w:rPr>
        <w:t xml:space="preserve"> </w:t>
      </w:r>
      <w:r w:rsidR="00A33A58">
        <w:rPr>
          <w:color w:val="000000" w:themeColor="text1"/>
          <w:u w:color="000000" w:themeColor="text1"/>
        </w:rPr>
        <w:t>Now, therefore,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Be it enacted by the General Assembly of the State of South Carolina:</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3F6">
        <w:rPr>
          <w:color w:val="000000" w:themeColor="text1"/>
          <w:u w:color="000000" w:themeColor="text1"/>
        </w:rPr>
        <w:t>SECTION</w:t>
      </w:r>
      <w:r w:rsidRPr="00A853F6">
        <w:rPr>
          <w:color w:val="000000" w:themeColor="text1"/>
          <w:u w:color="000000" w:themeColor="text1"/>
        </w:rPr>
        <w:tab/>
        <w:t>1.</w:t>
      </w:r>
      <w:r w:rsidRPr="00A853F6">
        <w:rPr>
          <w:color w:val="000000" w:themeColor="text1"/>
          <w:u w:color="000000" w:themeColor="text1"/>
        </w:rPr>
        <w:tab/>
        <w:t>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sidRPr="00A853F6">
        <w:rPr>
          <w:color w:val="000000" w:themeColor="text1"/>
          <w:u w:color="000000" w:themeColor="text1"/>
        </w:rPr>
        <w:t>330 of the 1976 Code is amended to read: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3F6">
        <w:rPr>
          <w:color w:val="000000" w:themeColor="text1"/>
          <w:u w:color="000000" w:themeColor="text1"/>
        </w:rPr>
        <w:tab/>
      </w:r>
      <w:r>
        <w:rPr>
          <w:color w:val="000000" w:themeColor="text1"/>
          <w:u w:color="000000" w:themeColor="text1"/>
        </w:rPr>
        <w:t>“</w:t>
      </w:r>
      <w:r w:rsidRPr="00A853F6">
        <w:rPr>
          <w:color w:val="000000" w:themeColor="text1"/>
          <w:u w:color="000000" w:themeColor="text1"/>
        </w:rPr>
        <w:t>Section 1</w:t>
      </w:r>
      <w:r w:rsidR="00EA3106">
        <w:rPr>
          <w:color w:val="000000" w:themeColor="text1"/>
          <w:u w:color="000000" w:themeColor="text1"/>
        </w:rPr>
        <w:noBreakHyphen/>
      </w:r>
      <w:r w:rsidRPr="00A853F6">
        <w:rPr>
          <w:color w:val="000000" w:themeColor="text1"/>
          <w:u w:color="000000" w:themeColor="text1"/>
        </w:rPr>
        <w:t>7</w:t>
      </w:r>
      <w:r w:rsidR="00EA3106">
        <w:rPr>
          <w:color w:val="000000" w:themeColor="text1"/>
          <w:u w:color="000000" w:themeColor="text1"/>
        </w:rPr>
        <w:noBreakHyphen/>
      </w:r>
      <w:r>
        <w:rPr>
          <w:color w:val="000000" w:themeColor="text1"/>
          <w:u w:color="000000" w:themeColor="text1"/>
        </w:rPr>
        <w:t>330.</w:t>
      </w:r>
      <w:r w:rsidR="00F23242">
        <w:rPr>
          <w:color w:val="000000" w:themeColor="text1"/>
          <w:u w:color="000000" w:themeColor="text1"/>
        </w:rPr>
        <w:t xml:space="preserve"> </w:t>
      </w:r>
      <w:r w:rsidRPr="0054169E">
        <w:rPr>
          <w:strike/>
        </w:rPr>
        <w:t>The solicitors shall attend the courts of general sessions for their respective circuits. Preparation of the dockets for general sessions courts shall be exclusively vested in the circuit solicitor and the solicitor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(A)</w:t>
      </w:r>
      <w:r w:rsidRPr="00A853F6">
        <w:rPr>
          <w:color w:val="000000" w:themeColor="text1"/>
          <w:u w:color="000000" w:themeColor="text1"/>
        </w:rPr>
        <w:tab/>
      </w:r>
      <w:r w:rsidRPr="00A853F6">
        <w:rPr>
          <w:color w:val="000000" w:themeColor="text1"/>
          <w:u w:val="single" w:color="000000" w:themeColor="text1"/>
        </w:rPr>
        <w:t>The circuit solicitor has the authority to call cases in such order and in such manner as will facilitate the efficient administration of his official duties, subject to the overall broad supervision of the tr</w:t>
      </w:r>
      <w:r w:rsidR="00D55636">
        <w:rPr>
          <w:color w:val="000000" w:themeColor="text1"/>
          <w:u w:val="single" w:color="000000" w:themeColor="text1"/>
        </w:rPr>
        <w:t>ial judge.</w:t>
      </w:r>
      <w:r w:rsidR="006C0578">
        <w:rPr>
          <w:color w:val="000000" w:themeColor="text1"/>
          <w:u w:val="single" w:color="000000" w:themeColor="text1"/>
        </w:rPr>
        <w:t xml:space="preserve"> </w:t>
      </w:r>
      <w:r w:rsidR="006C0578" w:rsidRPr="00D45748">
        <w:rPr>
          <w:color w:val="000000" w:themeColor="text1"/>
          <w:u w:val="single" w:color="000000" w:themeColor="text1"/>
        </w:rPr>
        <w:t>A defendant may move for a speedy trial or, if a defendant feels that his rights are prejudiced by reason of the calling of his case during a specific term, he may apply to the judge for a continuance beyond the term or for postponement to a date later within the term</w:t>
      </w:r>
      <w:r w:rsidR="006C0578">
        <w:rPr>
          <w:color w:val="000000" w:themeColor="text1"/>
          <w:u w:val="single" w:color="000000" w:themeColor="text1"/>
        </w:rPr>
        <w:t xml:space="preserve">. </w:t>
      </w:r>
      <w:r w:rsidRPr="00A853F6">
        <w:rPr>
          <w:color w:val="000000" w:themeColor="text1"/>
          <w:u w:val="single" w:color="000000" w:themeColor="text1"/>
        </w:rPr>
        <w:t>In the calling of cases for trial, the circuit solicitor has broad discretion in the first inst</w:t>
      </w:r>
      <w:r w:rsidR="00713D41">
        <w:rPr>
          <w:color w:val="000000" w:themeColor="text1"/>
          <w:u w:val="single" w:color="000000" w:themeColor="text1"/>
        </w:rPr>
        <w:t xml:space="preserve">ance, and the trial judge has </w:t>
      </w:r>
      <w:r w:rsidRPr="00A853F6">
        <w:rPr>
          <w:color w:val="000000" w:themeColor="text1"/>
          <w:u w:val="single" w:color="000000" w:themeColor="text1"/>
        </w:rPr>
        <w:t xml:space="preserve">broad discretion in the final analysis. </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(B)</w:t>
      </w:r>
      <w:r w:rsidRPr="00A853F6">
        <w:rPr>
          <w:color w:val="000000" w:themeColor="text1"/>
          <w:u w:color="000000" w:themeColor="text1"/>
        </w:rPr>
        <w:tab/>
      </w:r>
      <w:r w:rsidRPr="00A853F6">
        <w:rPr>
          <w:color w:val="000000" w:themeColor="text1"/>
          <w:u w:val="single" w:color="000000" w:themeColor="text1"/>
        </w:rPr>
        <w:t>Criminal cases in circuit court must be calendared by the circuit solicitor according to a written criminal case docketing plan developed by the circuit solicitor for each circuit.</w:t>
      </w:r>
      <w:r w:rsidR="00F23242">
        <w:rPr>
          <w:color w:val="000000" w:themeColor="text1"/>
          <w:u w:val="single" w:color="000000" w:themeColor="text1"/>
        </w:rPr>
        <w:t xml:space="preserve"> </w:t>
      </w:r>
      <w:r w:rsidRPr="00A853F6">
        <w:rPr>
          <w:color w:val="000000" w:themeColor="text1"/>
          <w:u w:val="single" w:color="000000" w:themeColor="text1"/>
        </w:rPr>
        <w:t xml:space="preserve">Before developing the plan, the circuit solicitor should consult with the judges </w:t>
      </w:r>
      <w:r w:rsidR="006C6754">
        <w:rPr>
          <w:color w:val="000000" w:themeColor="text1"/>
          <w:u w:val="single" w:color="000000" w:themeColor="text1"/>
        </w:rPr>
        <w:t xml:space="preserve">and circuit public defender </w:t>
      </w:r>
      <w:r w:rsidRPr="00A853F6">
        <w:rPr>
          <w:color w:val="000000" w:themeColor="text1"/>
          <w:u w:val="single" w:color="000000" w:themeColor="text1"/>
        </w:rPr>
        <w:t xml:space="preserve">residing in that circuit and members of the </w:t>
      </w:r>
      <w:r w:rsidR="006C6754">
        <w:rPr>
          <w:color w:val="000000" w:themeColor="text1"/>
          <w:u w:val="single" w:color="000000" w:themeColor="text1"/>
        </w:rPr>
        <w:t xml:space="preserve">county </w:t>
      </w:r>
      <w:r w:rsidRPr="00A853F6">
        <w:rPr>
          <w:color w:val="000000" w:themeColor="text1"/>
          <w:u w:val="single" w:color="000000" w:themeColor="text1"/>
        </w:rPr>
        <w:t>bar</w:t>
      </w:r>
      <w:r w:rsidR="006C6754">
        <w:rPr>
          <w:color w:val="000000" w:themeColor="text1"/>
          <w:u w:val="single" w:color="000000" w:themeColor="text1"/>
        </w:rPr>
        <w:t>s within that circuit</w:t>
      </w:r>
      <w:r w:rsidRPr="00A853F6">
        <w:rPr>
          <w:color w:val="000000" w:themeColor="text1"/>
          <w:u w:val="single" w:color="000000" w:themeColor="text1"/>
        </w:rPr>
        <w:t>. Each criminal docketing plan must be published on the circuit solicitor</w:t>
      </w:r>
      <w:r w:rsidR="00EA3106" w:rsidRPr="00EA3106">
        <w:rPr>
          <w:color w:val="000000" w:themeColor="text1"/>
          <w:u w:val="single" w:color="000000" w:themeColor="text1"/>
        </w:rPr>
        <w:t>’</w:t>
      </w:r>
      <w:r w:rsidRPr="00A853F6">
        <w:rPr>
          <w:color w:val="000000" w:themeColor="text1"/>
          <w:u w:val="single" w:color="000000" w:themeColor="text1"/>
        </w:rPr>
        <w:t>s website, if available, or at each courthouse in the circuit solicitor</w:t>
      </w:r>
      <w:r w:rsidR="00EA3106" w:rsidRPr="00EA3106">
        <w:rPr>
          <w:color w:val="000000" w:themeColor="text1"/>
          <w:u w:val="single" w:color="000000" w:themeColor="text1"/>
        </w:rPr>
        <w:t>’</w:t>
      </w:r>
      <w:r w:rsidRPr="00A853F6">
        <w:rPr>
          <w:color w:val="000000" w:themeColor="text1"/>
          <w:u w:val="single" w:color="000000" w:themeColor="text1"/>
        </w:rPr>
        <w:t>s circuit if a website is unavailable. Each criminal docketing plan, at a minimum, must include the provisions re</w:t>
      </w:r>
      <w:r w:rsidR="00A33A58">
        <w:rPr>
          <w:color w:val="000000" w:themeColor="text1"/>
          <w:u w:val="single" w:color="000000" w:themeColor="text1"/>
        </w:rPr>
        <w:t>quired pursuant to this section</w:t>
      </w:r>
      <w:r w:rsidRPr="00A853F6">
        <w:rPr>
          <w:color w:val="000000" w:themeColor="text1"/>
          <w:u w:val="single" w:color="000000" w:themeColor="text1"/>
        </w:rPr>
        <w:t xml:space="preserve"> but may contain additional provisions not inconsistent with this section.</w:t>
      </w:r>
      <w:r w:rsidR="00F23242">
        <w:rPr>
          <w:color w:val="000000" w:themeColor="text1"/>
          <w:u w:val="single" w:color="000000" w:themeColor="text1"/>
        </w:rPr>
        <w:t xml:space="preserve"> </w:t>
      </w:r>
      <w:r w:rsidRPr="00A853F6">
        <w:rPr>
          <w:color w:val="000000" w:themeColor="text1"/>
          <w:u w:val="single" w:color="000000" w:themeColor="text1"/>
        </w:rPr>
        <w:t>The circuit solicitor may, in his sole discretion, develop an individual docketing plan for each county within the circuit.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b/>
          <w:color w:val="000000" w:themeColor="text1"/>
          <w:u w:color="000000" w:themeColor="text1"/>
        </w:rPr>
        <w:tab/>
      </w:r>
      <w:r w:rsidRPr="00A853F6">
        <w:rPr>
          <w:color w:val="000000" w:themeColor="text1"/>
          <w:u w:val="single" w:color="000000" w:themeColor="text1"/>
        </w:rPr>
        <w:t>(C)</w:t>
      </w:r>
      <w:r w:rsidRPr="00A853F6">
        <w:rPr>
          <w:b/>
          <w:color w:val="000000" w:themeColor="text1"/>
          <w:u w:color="000000" w:themeColor="text1"/>
        </w:rPr>
        <w:tab/>
      </w:r>
      <w:r w:rsidRPr="00A853F6">
        <w:rPr>
          <w:color w:val="000000" w:themeColor="text1"/>
          <w:u w:val="single" w:color="000000" w:themeColor="text1"/>
        </w:rPr>
        <w:t>If administrative appearances are established by the docketing plan</w:t>
      </w:r>
      <w:r w:rsidR="00A33A58">
        <w:rPr>
          <w:color w:val="000000" w:themeColor="text1"/>
          <w:u w:val="single" w:color="000000" w:themeColor="text1"/>
        </w:rPr>
        <w:t>,</w:t>
      </w:r>
      <w:r w:rsidRPr="00A853F6">
        <w:rPr>
          <w:color w:val="000000" w:themeColor="text1"/>
          <w:u w:val="single" w:color="000000" w:themeColor="text1"/>
        </w:rPr>
        <w:t xml:space="preserve"> they must be </w:t>
      </w:r>
      <w:r w:rsidR="0042291E">
        <w:rPr>
          <w:color w:val="000000" w:themeColor="text1"/>
          <w:u w:val="single" w:color="000000" w:themeColor="text1"/>
        </w:rPr>
        <w:t xml:space="preserve">defined, </w:t>
      </w:r>
      <w:r w:rsidRPr="00A853F6">
        <w:rPr>
          <w:color w:val="000000" w:themeColor="text1"/>
          <w:u w:val="single" w:color="000000" w:themeColor="text1"/>
        </w:rPr>
        <w:t>scheduled</w:t>
      </w:r>
      <w:r w:rsidR="0042291E">
        <w:rPr>
          <w:color w:val="000000" w:themeColor="text1"/>
          <w:u w:val="single" w:color="000000" w:themeColor="text1"/>
        </w:rPr>
        <w:t>,</w:t>
      </w:r>
      <w:r w:rsidRPr="00A853F6">
        <w:rPr>
          <w:color w:val="000000" w:themeColor="text1"/>
          <w:u w:val="single" w:color="000000" w:themeColor="text1"/>
        </w:rPr>
        <w:t xml:space="preserve"> and conducted by the chief administrative judge for general sessions court or his designee. Venue for administrative appearances may be in any county in the circuit; however, the presence of the defendant is only required for administrative appearances held in the county where the case originated.</w:t>
      </w:r>
      <w:r w:rsidR="00F23242">
        <w:rPr>
          <w:color w:val="000000" w:themeColor="text1"/>
          <w:u w:val="single" w:color="000000" w:themeColor="text1"/>
        </w:rPr>
        <w:t xml:space="preserve"> </w:t>
      </w:r>
      <w:r w:rsidRPr="00A853F6">
        <w:rPr>
          <w:color w:val="000000" w:themeColor="text1"/>
          <w:u w:val="single" w:color="000000" w:themeColor="text1"/>
        </w:rPr>
        <w:t>At an administrative appearance: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(1)</w:t>
      </w:r>
      <w:r w:rsidRPr="00A853F6">
        <w:rPr>
          <w:color w:val="000000" w:themeColor="text1"/>
          <w:u w:color="000000" w:themeColor="text1"/>
        </w:rPr>
        <w:tab/>
      </w:r>
      <w:r w:rsidRPr="00A853F6">
        <w:rPr>
          <w:color w:val="000000" w:themeColor="text1"/>
          <w:u w:val="single" w:color="000000" w:themeColor="text1"/>
        </w:rPr>
        <w:t>the court shall determine the status of the defendant</w:t>
      </w:r>
      <w:r w:rsidR="00EA3106" w:rsidRPr="00EA3106">
        <w:rPr>
          <w:color w:val="000000" w:themeColor="text1"/>
          <w:u w:val="single" w:color="000000" w:themeColor="text1"/>
        </w:rPr>
        <w:t>’</w:t>
      </w:r>
      <w:r w:rsidRPr="00A853F6">
        <w:rPr>
          <w:color w:val="000000" w:themeColor="text1"/>
          <w:u w:val="single" w:color="000000" w:themeColor="text1"/>
        </w:rPr>
        <w:t>s representation by counsel and appoint counsel if necessary;</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(2)</w:t>
      </w:r>
      <w:r w:rsidRPr="00A853F6">
        <w:rPr>
          <w:color w:val="000000" w:themeColor="text1"/>
          <w:u w:color="000000" w:themeColor="text1"/>
        </w:rPr>
        <w:tab/>
      </w:r>
      <w:r w:rsidRPr="00A853F6">
        <w:rPr>
          <w:color w:val="000000" w:themeColor="text1"/>
          <w:u w:val="single" w:color="000000" w:themeColor="text1"/>
        </w:rPr>
        <w:t>the court shall determine the existence of any mental health issues that would require an order of the court;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(3)</w:t>
      </w:r>
      <w:r w:rsidRPr="00A853F6">
        <w:rPr>
          <w:color w:val="000000" w:themeColor="text1"/>
          <w:u w:color="000000" w:themeColor="text1"/>
        </w:rPr>
        <w:tab/>
      </w:r>
      <w:r w:rsidRPr="00A853F6">
        <w:rPr>
          <w:color w:val="000000" w:themeColor="text1"/>
          <w:u w:val="single" w:color="000000" w:themeColor="text1"/>
        </w:rPr>
        <w:t>the court may hear any pending pretrial motions affecting the administrative aspects of the case, but no motion involving substantive evidentiary issues may be heard without mutual consent of the parties; and</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color="000000" w:themeColor="text1"/>
        </w:rPr>
        <w:tab/>
      </w:r>
      <w:r w:rsidRPr="00A853F6">
        <w:rPr>
          <w:color w:val="000000" w:themeColor="text1"/>
          <w:u w:val="single" w:color="000000" w:themeColor="text1"/>
        </w:rPr>
        <w:t>(4)</w:t>
      </w:r>
      <w:r w:rsidRPr="00A853F6">
        <w:rPr>
          <w:color w:val="000000" w:themeColor="text1"/>
          <w:u w:color="000000" w:themeColor="text1"/>
        </w:rPr>
        <w:tab/>
      </w:r>
      <w:r w:rsidRPr="00A853F6">
        <w:rPr>
          <w:color w:val="000000" w:themeColor="text1"/>
          <w:u w:val="single" w:color="000000" w:themeColor="text1"/>
        </w:rPr>
        <w:t>nothing in this subsection precludes the disposition of a criminal case by plea, deferred prosecution, or dismissal prior to an administrative setting.</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(D)</w:t>
      </w:r>
      <w:r w:rsidRPr="00A853F6">
        <w:rPr>
          <w:color w:val="000000" w:themeColor="text1"/>
          <w:u w:color="000000" w:themeColor="text1"/>
        </w:rPr>
        <w:tab/>
      </w:r>
      <w:r w:rsidRPr="00A853F6">
        <w:rPr>
          <w:color w:val="000000" w:themeColor="text1"/>
          <w:u w:val="single" w:color="000000" w:themeColor="text1"/>
        </w:rPr>
        <w:t>The chief administrative judge for general sessions court is responsible for the scheduling of motions throughout a term of court.</w:t>
      </w:r>
      <w:r w:rsidR="00F23242">
        <w:rPr>
          <w:color w:val="000000" w:themeColor="text1"/>
          <w:u w:val="single" w:color="000000" w:themeColor="text1"/>
        </w:rPr>
        <w:t xml:space="preserve"> </w:t>
      </w:r>
      <w:r w:rsidRPr="00A853F6">
        <w:rPr>
          <w:color w:val="000000" w:themeColor="text1"/>
          <w:u w:val="single" w:color="000000" w:themeColor="text1"/>
        </w:rPr>
        <w:t>Evidentiary motions including, but not l</w:t>
      </w:r>
      <w:r w:rsidR="00A33A58">
        <w:rPr>
          <w:color w:val="000000" w:themeColor="text1"/>
          <w:u w:val="single" w:color="000000" w:themeColor="text1"/>
        </w:rPr>
        <w:t xml:space="preserve">imited to, motions to suppress </w:t>
      </w:r>
      <w:r w:rsidRPr="00A853F6">
        <w:rPr>
          <w:color w:val="000000" w:themeColor="text1"/>
          <w:u w:val="single" w:color="000000" w:themeColor="text1"/>
        </w:rPr>
        <w:t>may not be heard by any judge other than the judge who is assigned to preside over the trial of that case without the consent of the parties.</w:t>
      </w:r>
      <w:r w:rsidR="00F23242">
        <w:rPr>
          <w:color w:val="000000" w:themeColor="text1"/>
          <w:u w:val="single" w:color="000000" w:themeColor="text1"/>
        </w:rPr>
        <w:t xml:space="preserve"> </w:t>
      </w:r>
      <w:r w:rsidRPr="00A853F6">
        <w:rPr>
          <w:color w:val="000000" w:themeColor="text1"/>
          <w:u w:val="single" w:color="000000" w:themeColor="text1"/>
        </w:rPr>
        <w:t xml:space="preserve">When a motion to reconsider sentence </w:t>
      </w:r>
      <w:r w:rsidR="005862D3">
        <w:rPr>
          <w:color w:val="000000" w:themeColor="text1"/>
          <w:u w:val="single" w:color="000000" w:themeColor="text1"/>
        </w:rPr>
        <w:t>or other post</w:t>
      </w:r>
      <w:r w:rsidR="00EA3106">
        <w:rPr>
          <w:color w:val="000000" w:themeColor="text1"/>
          <w:u w:val="single" w:color="000000" w:themeColor="text1"/>
        </w:rPr>
        <w:noBreakHyphen/>
      </w:r>
      <w:r w:rsidR="005862D3">
        <w:rPr>
          <w:color w:val="000000" w:themeColor="text1"/>
          <w:u w:val="single" w:color="000000" w:themeColor="text1"/>
        </w:rPr>
        <w:t xml:space="preserve">plea or trial motion </w:t>
      </w:r>
      <w:r w:rsidRPr="00A853F6">
        <w:rPr>
          <w:color w:val="000000" w:themeColor="text1"/>
          <w:u w:val="single" w:color="000000" w:themeColor="text1"/>
        </w:rPr>
        <w:t xml:space="preserve">is filed by a defendant, the chief administrative judge </w:t>
      </w:r>
      <w:r w:rsidR="005862D3">
        <w:rPr>
          <w:color w:val="000000" w:themeColor="text1"/>
          <w:u w:val="single" w:color="000000" w:themeColor="text1"/>
        </w:rPr>
        <w:t xml:space="preserve">must </w:t>
      </w:r>
      <w:r w:rsidRPr="00A853F6">
        <w:rPr>
          <w:color w:val="000000" w:themeColor="text1"/>
          <w:u w:val="single" w:color="000000" w:themeColor="text1"/>
        </w:rPr>
        <w:t>schedule a hearing for the motion if the matter has not been resolved within ninety days of the filing date of the motion</w:t>
      </w:r>
      <w:r w:rsidR="005862D3">
        <w:rPr>
          <w:color w:val="000000" w:themeColor="text1"/>
          <w:u w:val="single" w:color="000000" w:themeColor="text1"/>
        </w:rPr>
        <w:t xml:space="preserve"> and must assign the hearing with the sentencing judge if still serving</w:t>
      </w:r>
      <w:r w:rsidRPr="00A853F6">
        <w:rPr>
          <w:color w:val="000000" w:themeColor="text1"/>
          <w:u w:val="single" w:color="000000" w:themeColor="text1"/>
        </w:rPr>
        <w: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A853F6">
        <w:rPr>
          <w:color w:val="000000" w:themeColor="text1"/>
          <w:u w:val="single" w:color="000000" w:themeColor="text1"/>
        </w:rPr>
        <w:t>(E)</w:t>
      </w:r>
      <w:r w:rsidRPr="00A853F6">
        <w:rPr>
          <w:color w:val="000000" w:themeColor="text1"/>
          <w:u w:color="000000" w:themeColor="text1"/>
        </w:rPr>
        <w:tab/>
      </w:r>
      <w:r w:rsidRPr="00A853F6">
        <w:rPr>
          <w:color w:val="000000" w:themeColor="text1"/>
          <w:u w:val="single" w:color="000000" w:themeColor="text1"/>
        </w:rPr>
        <w:t>Not less than thirty days before the term of court, the circuit solicitor shall s</w:t>
      </w:r>
      <w:r w:rsidR="005862D3">
        <w:rPr>
          <w:color w:val="000000" w:themeColor="text1"/>
          <w:u w:val="single" w:color="000000" w:themeColor="text1"/>
        </w:rPr>
        <w:t>ubmit a proposed list of cases</w:t>
      </w:r>
      <w:r w:rsidRPr="00A853F6">
        <w:rPr>
          <w:color w:val="000000" w:themeColor="text1"/>
          <w:u w:val="single" w:color="000000" w:themeColor="text1"/>
        </w:rPr>
        <w:t xml:space="preserve"> to the appropriate chief administrative judge and provide notice to defense counsel and pro se defendants who have cases on the proposed docket.</w:t>
      </w:r>
      <w:r w:rsidR="00F23242">
        <w:rPr>
          <w:color w:val="000000" w:themeColor="text1"/>
          <w:u w:val="single" w:color="000000" w:themeColor="text1"/>
        </w:rPr>
        <w:t xml:space="preserve"> </w:t>
      </w:r>
      <w:r w:rsidRPr="00A853F6">
        <w:rPr>
          <w:color w:val="000000" w:themeColor="text1"/>
          <w:u w:val="single" w:color="000000" w:themeColor="text1"/>
        </w:rPr>
        <w:t>The proposed docket should not contain cases that the circuit solicitor does not reasonably expect to be disposed of during the term of court.</w:t>
      </w:r>
      <w:r w:rsidR="00F23242">
        <w:rPr>
          <w:color w:val="000000" w:themeColor="text1"/>
          <w:u w:val="single" w:color="000000" w:themeColor="text1"/>
        </w:rPr>
        <w:t xml:space="preserve"> </w:t>
      </w:r>
      <w:r w:rsidRPr="00A853F6">
        <w:rPr>
          <w:color w:val="000000" w:themeColor="text1"/>
          <w:u w:val="single" w:color="000000" w:themeColor="text1"/>
        </w:rPr>
        <w:t>In counties in which multiple sessions of court are being held, the circuit solicitor, in his discretion, may pu</w:t>
      </w:r>
      <w:r w:rsidR="005862D3">
        <w:rPr>
          <w:color w:val="000000" w:themeColor="text1"/>
          <w:u w:val="single" w:color="000000" w:themeColor="text1"/>
        </w:rPr>
        <w:t>blish a proposed list of cases</w:t>
      </w:r>
      <w:r w:rsidRPr="00A853F6">
        <w:rPr>
          <w:color w:val="000000" w:themeColor="text1"/>
          <w:u w:val="single" w:color="000000" w:themeColor="text1"/>
        </w:rPr>
        <w:t xml:space="preserve"> for each session of court.</w:t>
      </w:r>
      <w:r w:rsidR="00F23242">
        <w:rPr>
          <w:color w:val="000000" w:themeColor="text1"/>
          <w:u w:val="single" w:color="000000" w:themeColor="text1"/>
        </w:rPr>
        <w:t xml:space="preserve"> </w:t>
      </w:r>
      <w:r w:rsidRPr="00A853F6">
        <w:rPr>
          <w:color w:val="000000" w:themeColor="text1"/>
          <w:u w:val="single" w:color="000000" w:themeColor="text1"/>
        </w:rPr>
        <w:t>Defense counsel or pro se defendants must file any motions for continuance with the court within five business days of notice of the proposed docket.</w:t>
      </w:r>
      <w:r w:rsidR="00F23242">
        <w:rPr>
          <w:color w:val="000000" w:themeColor="text1"/>
          <w:u w:val="single" w:color="000000" w:themeColor="text1"/>
        </w:rPr>
        <w:t xml:space="preserve"> </w:t>
      </w:r>
      <w:r w:rsidRPr="00A853F6">
        <w:rPr>
          <w:color w:val="000000" w:themeColor="text1"/>
          <w:u w:val="single" w:color="000000" w:themeColor="text1"/>
        </w:rPr>
        <w:t>The circuit solicitor may give notice of the proposed docket by posting it on his website or to defense attorneys and pro se defendants by regular mail, electronic mail, or hand delivery</w:t>
      </w:r>
      <w:r w:rsidR="00A33A58">
        <w:rPr>
          <w:color w:val="000000" w:themeColor="text1"/>
          <w:u w:val="single" w:color="000000" w:themeColor="text1"/>
        </w:rPr>
        <w:t xml:space="preserve"> to the last known address.</w:t>
      </w:r>
      <w:r w:rsidR="00F23242">
        <w:rPr>
          <w:color w:val="000000" w:themeColor="text1"/>
          <w:u w:val="single" w:color="000000" w:themeColor="text1"/>
        </w:rPr>
        <w:t xml:space="preserve"> </w:t>
      </w:r>
      <w:r w:rsidRPr="00A853F6">
        <w:rPr>
          <w:color w:val="000000" w:themeColor="text1"/>
          <w:u w:val="single" w:color="000000" w:themeColor="text1"/>
        </w:rPr>
        <w:t>After the court rules on any continuance requests, or if there are no continuance motion</w:t>
      </w:r>
      <w:r w:rsidR="005862D3">
        <w:rPr>
          <w:color w:val="000000" w:themeColor="text1"/>
          <w:u w:val="single" w:color="000000" w:themeColor="text1"/>
        </w:rPr>
        <w:t xml:space="preserve">s, the proposed list of cases </w:t>
      </w:r>
      <w:r w:rsidRPr="00A853F6">
        <w:rPr>
          <w:color w:val="000000" w:themeColor="text1"/>
          <w:u w:val="single" w:color="000000" w:themeColor="text1"/>
        </w:rPr>
        <w:t>becomes the docket.</w:t>
      </w:r>
      <w:r w:rsidR="00F23242">
        <w:rPr>
          <w:color w:val="000000" w:themeColor="text1"/>
          <w:u w:val="single" w:color="000000" w:themeColor="text1"/>
        </w:rPr>
        <w:t xml:space="preserve"> </w:t>
      </w:r>
      <w:r w:rsidRPr="00A853F6">
        <w:rPr>
          <w:color w:val="000000" w:themeColor="text1"/>
          <w:u w:val="single" w:color="000000" w:themeColor="text1"/>
        </w:rPr>
        <w:t>The circuit solicitor, after consultation with the parties, shall schedule new court dates for cases not reached during that term.</w:t>
      </w:r>
      <w:r w:rsidR="00F23242">
        <w:rPr>
          <w:color w:val="000000" w:themeColor="text1"/>
          <w:u w:val="single" w:color="000000" w:themeColor="text1"/>
        </w:rPr>
        <w:t xml:space="preserve"> </w:t>
      </w:r>
      <w:r w:rsidRPr="00A853F6">
        <w:rPr>
          <w:color w:val="000000" w:themeColor="text1"/>
          <w:u w:val="single" w:color="000000" w:themeColor="text1"/>
        </w:rPr>
        <w:t>If more than one session of court is scheduled for a court week, the circuit solicitor shall determine the number of plea sessions and trial sessions.</w:t>
      </w:r>
      <w:r w:rsidR="00F23242">
        <w:rPr>
          <w:color w:val="000000" w:themeColor="text1"/>
          <w:u w:val="single" w:color="000000" w:themeColor="text1"/>
        </w:rPr>
        <w:t xml:space="preserve"> </w:t>
      </w:r>
      <w:r w:rsidRPr="00A853F6">
        <w:rPr>
          <w:color w:val="000000" w:themeColor="text1"/>
          <w:u w:val="single" w:color="000000" w:themeColor="text1"/>
        </w:rPr>
        <w:t>The chief administrative judge shall determine which judges will preside over the solicitor designated sessions.</w:t>
      </w:r>
    </w:p>
    <w:p w:rsidR="007664DD" w:rsidRPr="00F23242" w:rsidRDefault="0054169E" w:rsidP="0076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853F6">
        <w:rPr>
          <w:color w:val="000000" w:themeColor="text1"/>
          <w:u w:color="000000" w:themeColor="text1"/>
        </w:rPr>
        <w:tab/>
      </w:r>
      <w:r w:rsidRPr="00F23242">
        <w:rPr>
          <w:color w:val="000000" w:themeColor="text1"/>
          <w:u w:val="single" w:color="000000" w:themeColor="text1"/>
        </w:rPr>
        <w:t>(F)</w:t>
      </w:r>
      <w:r w:rsidR="00F23242" w:rsidRPr="00F23242">
        <w:rPr>
          <w:color w:val="000000" w:themeColor="text1"/>
          <w:u w:color="000000" w:themeColor="text1"/>
        </w:rPr>
        <w:tab/>
      </w:r>
      <w:r w:rsidR="007664DD" w:rsidRPr="00F23242">
        <w:rPr>
          <w:color w:val="000000" w:themeColor="text1"/>
          <w:u w:val="single" w:color="000000" w:themeColor="text1"/>
        </w:rPr>
        <w:t>When a case has not otherwise been scheduled for trial within one year of indictment, the defendant may file a motion to have the case placed on the trial docket. The chief administrative judge, or his designee, shall hold a hearing for the purpose of determining whether a trial date should be set. Factors to be considered by the judge include the age of the case, other cases pending before the court, other charges pending against the defendant, and the status of witnesses and evidence for both the defendant and the circuit solicitor.</w:t>
      </w:r>
      <w:r w:rsidR="00F23242">
        <w:rPr>
          <w:color w:val="000000" w:themeColor="text1"/>
          <w:u w:val="single" w:color="000000" w:themeColor="text1"/>
        </w:rPr>
        <w:t xml:space="preserve"> </w:t>
      </w:r>
      <w:r w:rsidR="007664DD" w:rsidRPr="00F23242">
        <w:rPr>
          <w:color w:val="000000" w:themeColor="text1"/>
          <w:u w:val="single" w:color="000000" w:themeColor="text1"/>
        </w:rPr>
        <w:t>The court may grant a motion to have a case placed on the trial docket pursuant to this subsection only upon the specific finding that nonplacement on the trial docket schedule is arbitrary and unreasonable.</w:t>
      </w:r>
    </w:p>
    <w:p w:rsidR="007664DD" w:rsidRPr="00F23242" w:rsidRDefault="00F23242" w:rsidP="0076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23242">
        <w:rPr>
          <w:color w:val="000000" w:themeColor="text1"/>
          <w:u w:color="000000" w:themeColor="text1"/>
        </w:rPr>
        <w:tab/>
      </w:r>
      <w:r w:rsidR="007664DD" w:rsidRPr="00F23242">
        <w:rPr>
          <w:color w:val="000000" w:themeColor="text1"/>
          <w:u w:val="single" w:color="000000" w:themeColor="text1"/>
        </w:rPr>
        <w:t>(G)</w:t>
      </w:r>
      <w:r w:rsidRPr="00F23242">
        <w:rPr>
          <w:color w:val="000000" w:themeColor="text1"/>
          <w:u w:color="000000" w:themeColor="text1"/>
        </w:rPr>
        <w:tab/>
      </w:r>
      <w:r w:rsidR="007664DD" w:rsidRPr="00F23242">
        <w:rPr>
          <w:color w:val="000000" w:themeColor="text1"/>
          <w:u w:val="single" w:color="000000" w:themeColor="text1"/>
        </w:rPr>
        <w:t>If a defendant has an extraordinary need for a date certain trial or plea date, he may make a request with the circuit solicitor and, if both parties agree on a date, the circuit solicitor will submit a consent order, signed by all counsel and the defendant, to the chief administrative judge. If the parties cannot agree, the defendant may file a motion for a date certain.</w:t>
      </w:r>
      <w:r>
        <w:rPr>
          <w:color w:val="000000" w:themeColor="text1"/>
          <w:u w:val="single" w:color="000000" w:themeColor="text1"/>
        </w:rPr>
        <w:t xml:space="preserve"> </w:t>
      </w:r>
      <w:r w:rsidR="007664DD" w:rsidRPr="00F23242">
        <w:rPr>
          <w:color w:val="000000" w:themeColor="text1"/>
          <w:u w:val="single" w:color="000000" w:themeColor="text1"/>
        </w:rPr>
        <w:t>All filed motions for date certain must establish the basis of the extraordinary need and contain an affirmation that the defendant, prior to filing the motion, has communicated with the circuit solicitor and has attempted in good faith but failed to have the circuit solicitor docket the case in a manner that accommodated his extraordinary need. The chief administrative judge, or his designee, may hold a hearing for the purpose of determining whether a trial date should be set.</w:t>
      </w:r>
    </w:p>
    <w:p w:rsidR="0054169E" w:rsidRPr="00A853F6" w:rsidRDefault="00F23242"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23242">
        <w:rPr>
          <w:color w:val="000000" w:themeColor="text1"/>
          <w:u w:color="000000" w:themeColor="text1"/>
        </w:rPr>
        <w:tab/>
      </w:r>
      <w:r w:rsidR="0054169E" w:rsidRPr="00F23242">
        <w:rPr>
          <w:color w:val="000000" w:themeColor="text1"/>
          <w:u w:val="single" w:color="000000" w:themeColor="text1"/>
        </w:rPr>
        <w:t>(H)</w:t>
      </w:r>
      <w:r w:rsidRPr="00F23242">
        <w:rPr>
          <w:color w:val="000000" w:themeColor="text1"/>
          <w:u w:color="000000" w:themeColor="text1"/>
        </w:rPr>
        <w:tab/>
      </w:r>
      <w:r w:rsidR="0054169E" w:rsidRPr="00F23242">
        <w:rPr>
          <w:color w:val="000000" w:themeColor="text1"/>
          <w:u w:val="single" w:color="000000" w:themeColor="text1"/>
        </w:rPr>
        <w:t>Nothing in this section may be construed to deprive any victim of any constitutional or statutory rights.</w:t>
      </w:r>
      <w:r w:rsidR="0054169E" w:rsidRPr="00A853F6">
        <w:rPr>
          <w:color w:val="000000" w:themeColor="text1"/>
          <w:u w:color="000000" w:themeColor="text1"/>
        </w:rPr>
        <w:t>”</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w:t>
      </w:r>
      <w:r w:rsidR="00F23242">
        <w:rPr>
          <w:color w:val="000000" w:themeColor="text1"/>
          <w:u w:color="000000" w:themeColor="text1"/>
        </w:rPr>
        <w:t xml:space="preserve"> </w:t>
      </w:r>
      <w:r>
        <w:rPr>
          <w:color w:val="000000" w:themeColor="text1"/>
          <w:u w:color="000000" w:themeColor="text1"/>
        </w:rPr>
        <w:t>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169E"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4169E" w:rsidRPr="00A853F6" w:rsidRDefault="0054169E" w:rsidP="005416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02E6" w:rsidRDefault="00DD02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4169E">
        <w:t>4</w:t>
      </w:r>
      <w:r>
        <w:t>.</w:t>
      </w:r>
      <w:r>
        <w:tab/>
        <w:t>This act takes effect upon approval by the Governor.</w:t>
      </w:r>
    </w:p>
    <w:p w:rsidR="00133799" w:rsidRDefault="00EA31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AC5" w:rsidRDefault="009B5AC5" w:rsidP="009B5AC5">
      <w:pPr>
        <w:suppressAutoHyphens/>
      </w:pPr>
    </w:p>
    <w:sectPr w:rsidR="009B5AC5" w:rsidSect="009B5AC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2E6" w:rsidRDefault="00DD02E6" w:rsidP="009F0C77">
      <w:r>
        <w:separator/>
      </w:r>
    </w:p>
  </w:endnote>
  <w:endnote w:type="continuationSeparator" w:id="0">
    <w:p w:rsidR="00DD02E6" w:rsidRDefault="00DD02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D01ADEC-628F-482B-AAEA-149801CC7D7F}"/>
    <w:embedBold r:id="rId2" w:fontKey="{0B585315-7B45-4A70-B993-A30A5DCE3175}"/>
  </w:font>
  <w:font w:name="Calibri">
    <w:panose1 w:val="020F0502020204030204"/>
    <w:charset w:val="00"/>
    <w:family w:val="swiss"/>
    <w:pitch w:val="variable"/>
    <w:sig w:usb0="E00002FF" w:usb1="4000ACFF" w:usb2="00000001" w:usb3="00000000" w:csb0="0000019F" w:csb1="00000000"/>
    <w:embedRegular r:id="rId3" w:fontKey="{4030E913-E311-4BFE-91B7-D6D0D2E2DAFE}"/>
  </w:font>
  <w:font w:name="Segoe UI">
    <w:panose1 w:val="020B0502040204020203"/>
    <w:charset w:val="00"/>
    <w:family w:val="swiss"/>
    <w:pitch w:val="variable"/>
    <w:sig w:usb0="E10022FF" w:usb1="C000E47F" w:usb2="00000029" w:usb3="00000000" w:csb0="000001DF" w:csb1="00000000"/>
    <w:embedRegular r:id="rId4" w:fontKey="{E04D34F1-3000-4E7D-901F-607814AA5597}"/>
  </w:font>
  <w:font w:name="Cambria">
    <w:panose1 w:val="02040503050406030204"/>
    <w:charset w:val="00"/>
    <w:family w:val="roman"/>
    <w:pitch w:val="variable"/>
    <w:sig w:usb0="E00002FF" w:usb1="400004FF" w:usb2="00000000" w:usb3="00000000" w:csb0="0000019F" w:csb1="00000000"/>
    <w:embedRegular r:id="rId5" w:fontKey="{2101E5D9-B185-424F-BC0A-B9E9D3B4F3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5AC5" w:rsidRPr="00C37C48" w:rsidRDefault="009B5AC5" w:rsidP="00C37C48">
    <w:pPr>
      <w:pStyle w:val="Footer"/>
      <w:tabs>
        <w:tab w:val="clear" w:pos="4680"/>
        <w:tab w:val="clear" w:pos="9360"/>
        <w:tab w:val="center" w:pos="2995"/>
      </w:tabs>
      <w:spacing w:before="120"/>
    </w:pPr>
    <w:r>
      <w:t>[3827]</w:t>
    </w:r>
    <w:r>
      <w:tab/>
    </w:r>
    <w:r>
      <w:fldChar w:fldCharType="begin"/>
    </w:r>
    <w:r>
      <w:instrText xml:space="preserve"> PAGE  \* MERGEFORMAT </w:instrText>
    </w:r>
    <w:r>
      <w:fldChar w:fldCharType="separate"/>
    </w:r>
    <w:r w:rsidR="008200B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2E6" w:rsidRDefault="00DD02E6" w:rsidP="009F0C77">
      <w:r>
        <w:separator/>
      </w:r>
    </w:p>
  </w:footnote>
  <w:footnote w:type="continuationSeparator" w:id="0">
    <w:p w:rsidR="00DD02E6" w:rsidRDefault="00DD02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3AHB19"/>
    <w:docVar w:name="CoverBillType" w:val="b"/>
    <w:docVar w:name="DocPath" w:val="L:\Council\bills\BH\7093AHB19.DOCX"/>
    <w:docVar w:name="dvBillNumber" w:val="3827"/>
    <w:docVar w:name="dvBillNumberPrefix" w:val="H. "/>
    <w:docVar w:name="dvOriginalBody" w:val="House"/>
    <w:docVar w:name="dvSteno" w:val="BH"/>
    <w:docVar w:name="NameofBody" w:val="h"/>
    <w:docVar w:name="vGroup2" w:val="Council"/>
  </w:docVars>
  <w:rsids>
    <w:rsidRoot w:val="00DD02E6"/>
    <w:rsid w:val="00011869"/>
    <w:rsid w:val="00015CD6"/>
    <w:rsid w:val="000C6370"/>
    <w:rsid w:val="000E0100"/>
    <w:rsid w:val="000E1785"/>
    <w:rsid w:val="000F40FA"/>
    <w:rsid w:val="000F5187"/>
    <w:rsid w:val="001035F1"/>
    <w:rsid w:val="0010776B"/>
    <w:rsid w:val="00133799"/>
    <w:rsid w:val="00133E66"/>
    <w:rsid w:val="001435A3"/>
    <w:rsid w:val="00146ED3"/>
    <w:rsid w:val="00151044"/>
    <w:rsid w:val="001B14EB"/>
    <w:rsid w:val="001D08F2"/>
    <w:rsid w:val="001D3A58"/>
    <w:rsid w:val="001D525B"/>
    <w:rsid w:val="001D7F4F"/>
    <w:rsid w:val="00205238"/>
    <w:rsid w:val="002321B6"/>
    <w:rsid w:val="00237EC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20BC"/>
    <w:rsid w:val="0042291E"/>
    <w:rsid w:val="004403BD"/>
    <w:rsid w:val="00461441"/>
    <w:rsid w:val="00474E32"/>
    <w:rsid w:val="004809EE"/>
    <w:rsid w:val="004E7D54"/>
    <w:rsid w:val="00501DA9"/>
    <w:rsid w:val="005273C6"/>
    <w:rsid w:val="00530A69"/>
    <w:rsid w:val="0054169E"/>
    <w:rsid w:val="00545593"/>
    <w:rsid w:val="00556EBF"/>
    <w:rsid w:val="00577C6C"/>
    <w:rsid w:val="005862D3"/>
    <w:rsid w:val="005A62FE"/>
    <w:rsid w:val="005C25BE"/>
    <w:rsid w:val="005C2FE2"/>
    <w:rsid w:val="005E2BC9"/>
    <w:rsid w:val="00605102"/>
    <w:rsid w:val="006215AA"/>
    <w:rsid w:val="006913C9"/>
    <w:rsid w:val="0069470D"/>
    <w:rsid w:val="006C0578"/>
    <w:rsid w:val="006C6754"/>
    <w:rsid w:val="006D58AA"/>
    <w:rsid w:val="00713D41"/>
    <w:rsid w:val="00734F00"/>
    <w:rsid w:val="007664DD"/>
    <w:rsid w:val="007A70AE"/>
    <w:rsid w:val="008200B0"/>
    <w:rsid w:val="008362E8"/>
    <w:rsid w:val="0085786E"/>
    <w:rsid w:val="008A1768"/>
    <w:rsid w:val="008A489F"/>
    <w:rsid w:val="008F0F33"/>
    <w:rsid w:val="008F4429"/>
    <w:rsid w:val="009178F1"/>
    <w:rsid w:val="0094021A"/>
    <w:rsid w:val="00983556"/>
    <w:rsid w:val="009B44AF"/>
    <w:rsid w:val="009B5AC5"/>
    <w:rsid w:val="009C1F1A"/>
    <w:rsid w:val="009C6A0B"/>
    <w:rsid w:val="009F0C77"/>
    <w:rsid w:val="009F4DD1"/>
    <w:rsid w:val="00A02543"/>
    <w:rsid w:val="00A33A58"/>
    <w:rsid w:val="00A41684"/>
    <w:rsid w:val="00A418B4"/>
    <w:rsid w:val="00A64E80"/>
    <w:rsid w:val="00A67F53"/>
    <w:rsid w:val="00A72BCD"/>
    <w:rsid w:val="00A741D9"/>
    <w:rsid w:val="00A80694"/>
    <w:rsid w:val="00A833AB"/>
    <w:rsid w:val="00A9741D"/>
    <w:rsid w:val="00AC34A2"/>
    <w:rsid w:val="00AD1C9A"/>
    <w:rsid w:val="00AD4B17"/>
    <w:rsid w:val="00B412D4"/>
    <w:rsid w:val="00BE3C22"/>
    <w:rsid w:val="00C0345E"/>
    <w:rsid w:val="00C31C95"/>
    <w:rsid w:val="00C3483A"/>
    <w:rsid w:val="00C37C48"/>
    <w:rsid w:val="00C74E9D"/>
    <w:rsid w:val="00C826DD"/>
    <w:rsid w:val="00C82FD3"/>
    <w:rsid w:val="00C92819"/>
    <w:rsid w:val="00CC6B7B"/>
    <w:rsid w:val="00CD2089"/>
    <w:rsid w:val="00D20195"/>
    <w:rsid w:val="00D55636"/>
    <w:rsid w:val="00D73A67"/>
    <w:rsid w:val="00D970A9"/>
    <w:rsid w:val="00DD02E6"/>
    <w:rsid w:val="00DD4C88"/>
    <w:rsid w:val="00DF3845"/>
    <w:rsid w:val="00E41911"/>
    <w:rsid w:val="00E44B57"/>
    <w:rsid w:val="00E6293A"/>
    <w:rsid w:val="00E92EEF"/>
    <w:rsid w:val="00EA3106"/>
    <w:rsid w:val="00EF2368"/>
    <w:rsid w:val="00F23242"/>
    <w:rsid w:val="00F24442"/>
    <w:rsid w:val="00F33254"/>
    <w:rsid w:val="00F50AE3"/>
    <w:rsid w:val="00F655B7"/>
    <w:rsid w:val="00F656BA"/>
    <w:rsid w:val="00F65E5A"/>
    <w:rsid w:val="00F67CF1"/>
    <w:rsid w:val="00F728AA"/>
    <w:rsid w:val="00F840F0"/>
    <w:rsid w:val="00FB0D0D"/>
    <w:rsid w:val="00FB43B4"/>
    <w:rsid w:val="00FB6B0B"/>
    <w:rsid w:val="00FE41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AB7B50-A458-41D8-8117-DD699D76F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63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370"/>
    <w:rPr>
      <w:rFonts w:ascii="Segoe UI" w:eastAsia="Times New Roman" w:hAnsi="Segoe UI" w:cs="Segoe UI"/>
      <w:sz w:val="18"/>
      <w:szCs w:val="18"/>
    </w:rPr>
  </w:style>
  <w:style w:type="character" w:styleId="Hyperlink">
    <w:name w:val="Hyperlink"/>
    <w:basedOn w:val="DefaultParagraphFont"/>
    <w:uiPriority w:val="99"/>
    <w:unhideWhenUsed/>
    <w:rsid w:val="009B5AC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7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AB09E-3573-4339-8F69-C4A776E8C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C1081DB3.dotm</Template>
  <TotalTime>0</TotalTime>
  <Pages>3</Pages>
  <Words>2179</Words>
  <Characters>11030</Characters>
  <Application>Microsoft Office Word</Application>
  <DocSecurity>0</DocSecurity>
  <Lines>250</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3827: Circuit court docket - South Carolina Legislature Online</dc:title>
  <dc:creator>Bonnie Huth</dc:creator>
  <cp:lastModifiedBy>S Volk</cp:lastModifiedBy>
  <cp:revision>2</cp:revision>
  <cp:lastPrinted>2019-01-28T15:01:00Z</cp:lastPrinted>
  <dcterms:created xsi:type="dcterms:W3CDTF">2019-02-12T18:39:00Z</dcterms:created>
  <dcterms:modified xsi:type="dcterms:W3CDTF">2019-02-12T18:39:00Z</dcterms:modified>
</cp:coreProperties>
</file>