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 xml:space="preserve">AS </w:t>
      </w:r>
      <w:r w:rsidR="00103BD7">
        <w:rPr>
          <w:rFonts w:eastAsia="Times New Roman" w:cs="Times New Roman"/>
          <w:szCs w:val="20"/>
        </w:rPr>
        <w:t>PASSED</w:t>
      </w:r>
      <w:r>
        <w:rPr>
          <w:rFonts w:eastAsia="Times New Roman" w:cs="Times New Roman"/>
          <w:szCs w:val="20"/>
        </w:rPr>
        <w:t xml:space="preserve"> BY THE SENATE</w:t>
      </w:r>
    </w:p>
    <w:p w:rsidR="009B3982"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5, 2020</w:t>
      </w:r>
    </w:p>
    <w:p w:rsidR="009B3982" w:rsidRDefault="009B398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492493" w:rsidP="008A2538">
      <w:pPr>
        <w:tabs>
          <w:tab w:val="right" w:pos="5933"/>
        </w:tabs>
        <w:suppressAutoHyphens/>
        <w:jc w:val="both"/>
        <w:rPr>
          <w:rFonts w:eastAsia="Times New Roman" w:cs="Times New Roman"/>
          <w:szCs w:val="20"/>
        </w:rPr>
      </w:pPr>
      <w:r>
        <w:rPr>
          <w:rFonts w:eastAsia="Times New Roman" w:cs="Times New Roman"/>
          <w:szCs w:val="20"/>
        </w:rPr>
        <w:t>S. Printed 3/</w:t>
      </w:r>
      <w:r w:rsidR="009B3982">
        <w:rPr>
          <w:rFonts w:eastAsia="Times New Roman" w:cs="Times New Roman"/>
          <w:szCs w:val="20"/>
        </w:rPr>
        <w:t>5</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BASED ASSESSMENTS IN SOCIAL STUDIES TO STUDENTS IN FIFTH GRADE AND 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65, RELATING TO THE POWERS AND DUTIES OF THE STATE BOARD OF EDUCATION, SO AS TO PROVIDE REMEDIAL COURSEWORK FOR COLLEGE READINESS ONLY MAY BE 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YEAR PUBLIC INSTITUTIONS OF 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 at no 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based. The department shall provide this information to the Learning Disorders Task Force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tab/>
        <w:t>(a)</w:t>
      </w:r>
      <w:r w:rsidRPr="008A2538">
        <w:tab/>
      </w:r>
      <w:r w:rsidRPr="008A2538">
        <w:rPr>
          <w:strike/>
        </w:rPr>
        <w:t>South Carolina public institution defined in Section 59</w:t>
      </w:r>
      <w:r w:rsidRPr="008A2538">
        <w:rPr>
          <w:strike/>
        </w:rPr>
        <w:noBreakHyphen/>
        <w:t>103</w:t>
      </w:r>
      <w:r w:rsidRPr="008A2538">
        <w:rPr>
          <w:strike/>
        </w:rPr>
        <w:noBreakHyphen/>
        <w:t>5, excluding a public two</w:t>
      </w:r>
      <w:r w:rsidRPr="008A2538">
        <w:rPr>
          <w:strike/>
        </w:rPr>
        <w:noBreakHyphen/>
        <w:t>year or technical institution, and an independent institution as defined in Section 59</w:t>
      </w:r>
      <w:r w:rsidRPr="008A2538">
        <w:rPr>
          <w:strike/>
        </w:rPr>
        <w:noBreakHyphen/>
        <w:t>113</w:t>
      </w:r>
      <w:r w:rsidRPr="008A2538">
        <w:rPr>
          <w:strike/>
        </w:rPr>
        <w:noBreakHyphen/>
        <w:t>50, excluding an eleemosynary junior or independent two</w:t>
      </w:r>
      <w:r w:rsidRPr="008A2538">
        <w:rPr>
          <w:strike/>
        </w:rPr>
        <w:noBreakHyphen/>
        <w:t>year institution</w:t>
      </w:r>
      <w:r w:rsidRPr="008A2538">
        <w:t xml:space="preserve"> </w:t>
      </w:r>
      <w:r w:rsidRPr="008A2538">
        <w:rPr>
          <w:u w:val="single"/>
        </w:rPr>
        <w:t>any state</w:t>
      </w:r>
      <w:r w:rsidRPr="008A2538">
        <w:rPr>
          <w:u w:val="single"/>
        </w:rPr>
        <w:noBreakHyphen/>
        <w:t>supported, post</w:t>
      </w:r>
      <w:r w:rsidRPr="008A2538">
        <w:rPr>
          <w:u w:val="single"/>
        </w:rPr>
        <w:noBreakHyphen/>
        <w:t>secondary educational institution. ‘Public or independent institution’ does not include a two-year or technical institution or an eleemosynary junior or independent two-year institution</w:t>
      </w:r>
      <w:r w:rsidRPr="008A2538">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t>(b)</w:t>
      </w:r>
      <w:r w:rsidRPr="008A2538">
        <w:rPr>
          <w:rFonts w:eastAsia="Times New Roman" w:cs="Times New Roman"/>
          <w:szCs w:val="20"/>
        </w:rPr>
        <w:tab/>
        <w:t xml:space="preserve">public or independent </w:t>
      </w:r>
      <w:r w:rsidRPr="00E03F3B">
        <w:rPr>
          <w:rFonts w:eastAsia="Times New Roman" w:cs="Times New Roman"/>
          <w:szCs w:val="20"/>
        </w:rPr>
        <w:t>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3.5</w:t>
      </w:r>
      <w:r w:rsidRPr="008A2538">
        <w:rPr>
          <w:rFonts w:eastAsia="Times New Roman" w:cs="Times New Roman"/>
          <w:szCs w:val="20"/>
        </w:rPr>
        <w:t xml:space="preserve"> </w:t>
      </w:r>
      <w:r w:rsidRPr="008A2538">
        <w:rPr>
          <w:rFonts w:eastAsia="Times New Roman" w:cs="Times New Roman"/>
          <w:szCs w:val="20"/>
          <w:u w:val="single"/>
        </w:rPr>
        <w:t>3.49 or better</w:t>
      </w:r>
      <w:r w:rsidRPr="008A2538">
        <w:rPr>
          <w:rFonts w:eastAsia="Times New Roman" w:cs="Times New Roman"/>
          <w:szCs w:val="20"/>
        </w:rPr>
        <w:t xml:space="preserve"> grade point ratio on the Uniform Grading Scale at the end of</w:t>
      </w:r>
      <w:r w:rsidR="00A43341" w:rsidRPr="008A2538">
        <w:rPr>
          <w:rFonts w:eastAsia="Times New Roman" w:cs="Times New Roman"/>
          <w:szCs w:val="20"/>
        </w:rPr>
        <w:t xml:space="preserve"> the junior or senior year; and</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(c)</w:t>
      </w:r>
      <w:r w:rsidRPr="008A2538">
        <w:rPr>
          <w:rFonts w:eastAsia="Times New Roman" w:cs="Times New Roman"/>
          <w:szCs w:val="20"/>
          <w:u w:val="single"/>
        </w:rPr>
        <w:t>(iii)</w:t>
      </w:r>
      <w:r w:rsidRPr="008A2538">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(2)</w:t>
      </w:r>
      <w:r w:rsidRPr="008A2538">
        <w:rPr>
          <w:rFonts w:eastAsia="Times New Roman" w:cs="Times New Roman"/>
          <w:szCs w:val="20"/>
          <w:u w:val="single"/>
        </w:rPr>
        <w:t>(b)</w:t>
      </w:r>
      <w:r w:rsidRPr="008A2538">
        <w:rPr>
          <w:rFonts w:eastAsia="Times New Roman" w:cs="Times New Roman"/>
          <w:szCs w:val="20"/>
        </w:rPr>
        <w:tab/>
        <w:t>meet the following two criteria:</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(a)</w:t>
      </w:r>
      <w:r w:rsidRPr="008A2538">
        <w:rPr>
          <w:rFonts w:eastAsia="Times New Roman" w:cs="Times New Roman"/>
          <w:szCs w:val="20"/>
          <w:u w:val="single"/>
        </w:rPr>
        <w:t>(i)</w:t>
      </w:r>
      <w:r w:rsidRPr="008A2538">
        <w:rPr>
          <w:rFonts w:eastAsia="Times New Roman" w:cs="Times New Roman"/>
          <w:szCs w:val="20"/>
        </w:rPr>
        <w:tab/>
        <w:t xml:space="preserve">a minimum score of 1400 on the Scholastic Aptitude Test (SAT) or </w:t>
      </w:r>
      <w:r w:rsidRPr="008A2538">
        <w:rPr>
          <w:rFonts w:eastAsia="Times New Roman" w:cs="Times New Roman"/>
          <w:strike/>
          <w:szCs w:val="20"/>
        </w:rPr>
        <w:t>an equivalent</w:t>
      </w:r>
      <w:r w:rsidRPr="008A2538">
        <w:rPr>
          <w:rFonts w:eastAsia="Times New Roman" w:cs="Times New Roman"/>
          <w:szCs w:val="20"/>
        </w:rPr>
        <w:t xml:space="preserve"> </w:t>
      </w:r>
      <w:r w:rsidRPr="008A2538">
        <w:rPr>
          <w:rFonts w:eastAsia="Times New Roman" w:cs="Times New Roman"/>
          <w:szCs w:val="20"/>
          <w:u w:val="single"/>
        </w:rPr>
        <w:t xml:space="preserve">a score of thirty-one on the </w:t>
      </w:r>
      <w:r w:rsidRPr="008A2538">
        <w:rPr>
          <w:rFonts w:eastAsia="Times New Roman" w:cs="Times New Roman"/>
          <w:szCs w:val="20"/>
        </w:rPr>
        <w:t xml:space="preserve">ACT </w:t>
      </w:r>
      <w:r w:rsidRPr="008A2538">
        <w:rPr>
          <w:rFonts w:eastAsia="Times New Roman" w:cs="Times New Roman"/>
          <w:strike/>
          <w:szCs w:val="20"/>
        </w:rPr>
        <w:t>score</w:t>
      </w:r>
      <w:r w:rsidRPr="008A2538">
        <w:rPr>
          <w:rFonts w:eastAsia="Times New Roman" w:cs="Times New Roman"/>
          <w:szCs w:val="20"/>
        </w:rPr>
        <w:t>; and</w:t>
      </w:r>
    </w:p>
    <w:p w:rsidR="00D53A0D" w:rsidRPr="00E03F3B"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zCs w:val="20"/>
        </w:rPr>
        <w:tab/>
      </w:r>
      <w:r w:rsidRPr="008A2538">
        <w:rPr>
          <w:rFonts w:eastAsia="Times New Roman" w:cs="Times New Roman"/>
          <w:strike/>
          <w:szCs w:val="20"/>
        </w:rPr>
        <w:t>(b)</w:t>
      </w:r>
      <w:r w:rsidRPr="008A2538">
        <w:rPr>
          <w:rFonts w:eastAsia="Times New Roman" w:cs="Times New Roman"/>
          <w:szCs w:val="20"/>
          <w:u w:val="single"/>
        </w:rPr>
        <w:t>(ii)</w:t>
      </w:r>
      <w:r w:rsidRPr="008A2538">
        <w:rPr>
          <w:rFonts w:eastAsia="Times New Roman" w:cs="Times New Roman"/>
          <w:szCs w:val="20"/>
        </w:rPr>
        <w:tab/>
        <w:t xml:space="preserve">a cumulative </w:t>
      </w:r>
      <w:r w:rsidRPr="008A2538">
        <w:rPr>
          <w:rFonts w:eastAsia="Times New Roman" w:cs="Times New Roman"/>
          <w:strike/>
          <w:szCs w:val="20"/>
        </w:rPr>
        <w:t>4.0</w:t>
      </w:r>
      <w:r w:rsidRPr="008A2538">
        <w:rPr>
          <w:rFonts w:eastAsia="Times New Roman" w:cs="Times New Roman"/>
          <w:szCs w:val="20"/>
        </w:rPr>
        <w:t xml:space="preserve"> </w:t>
      </w:r>
      <w:r w:rsidRPr="008A2538">
        <w:rPr>
          <w:rFonts w:eastAsia="Times New Roman" w:cs="Times New Roman"/>
          <w:szCs w:val="20"/>
          <w:u w:val="single"/>
        </w:rPr>
        <w:t>3.99 or better</w:t>
      </w:r>
      <w:r w:rsidRPr="008A2538">
        <w:rPr>
          <w:rFonts w:eastAsia="Times New Roman" w:cs="Times New Roman"/>
          <w:szCs w:val="20"/>
        </w:rPr>
        <w:t xml:space="preserve"> grade point ratio on the Uniform Grading Scale at the end of the junior or senior year.</w:t>
      </w:r>
      <w:r w:rsidR="00D53A0D" w:rsidRPr="008A2538">
        <w:rPr>
          <w:rFonts w:eastAsia="Times New Roman" w:cs="Times New Roman"/>
          <w:szCs w:val="20"/>
        </w:rPr>
        <w:tab/>
      </w:r>
      <w:r w:rsidR="00D53A0D" w:rsidRPr="008A2538">
        <w:rPr>
          <w:rFonts w:eastAsia="Times New Roman" w:cs="Times New Roman"/>
          <w:szCs w:val="20"/>
        </w:rPr>
        <w:tab/>
      </w:r>
      <w:r w:rsidR="00D53A0D" w:rsidRPr="008A2538">
        <w:rPr>
          <w:rFonts w:eastAsia="Times New Roman" w:cs="Times New Roman"/>
          <w:szCs w:val="20"/>
          <w:u w:val="single"/>
        </w:rPr>
        <w:t>(2)</w:t>
      </w:r>
      <w:r w:rsidR="00D53A0D" w:rsidRPr="008A2538">
        <w:rPr>
          <w:rFonts w:eastAsia="Times New Roman" w:cs="Times New Roman"/>
          <w:szCs w:val="20"/>
        </w:rPr>
        <w:tab/>
        <w:t xml:space="preserve">Qualifying </w:t>
      </w:r>
      <w:r w:rsidR="00D53A0D" w:rsidRPr="00E03F3B">
        <w:rPr>
          <w:rFonts w:eastAsia="Times New Roman" w:cs="Times New Roman"/>
          <w:szCs w:val="20"/>
        </w:rPr>
        <w:t>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may be used provided it is calculated pursuant to a state</w:t>
      </w:r>
      <w:r w:rsidR="00D53A0D" w:rsidRPr="00E03F3B">
        <w:rPr>
          <w:rFonts w:eastAsia="Times New Roman" w:cs="Times New Roman"/>
          <w:szCs w:val="20"/>
        </w:rPr>
        <w:noBreakHyphen/>
        <w:t>approved, standardized grading scale at the respective out</w:t>
      </w:r>
      <w:r w:rsidR="00D53A0D" w:rsidRPr="00E03F3B">
        <w:rPr>
          <w:rFonts w:eastAsia="Times New Roman" w:cs="Times New Roman"/>
          <w:szCs w:val="20"/>
        </w:rPr>
        <w:noBreakHyphen/>
        <w:t>of</w:t>
      </w:r>
      <w:r w:rsidR="00D53A0D" w:rsidRPr="00E03F3B">
        <w:rPr>
          <w:rFonts w:eastAsia="Times New Roman" w:cs="Times New Roman"/>
          <w:szCs w:val="20"/>
        </w:rPr>
        <w:noBreakHyphen/>
        <w:t>state high school. If the Commission on Higher Education determines that a state</w:t>
      </w:r>
      <w:r w:rsidR="00D53A0D" w:rsidRPr="00E03F3B">
        <w:rPr>
          <w:rFonts w:eastAsia="Times New Roman" w:cs="Times New Roman"/>
          <w:szCs w:val="20"/>
        </w:rPr>
        <w:noBreakHyphen/>
        <w:t>approved standardized grading scale substantially deviates from the South Carolina Uniform Grading Scale, the state</w:t>
      </w:r>
      <w:r w:rsidR="00D53A0D" w:rsidRPr="00E03F3B">
        <w:rPr>
          <w:rFonts w:eastAsia="Times New Roman" w:cs="Times New Roman"/>
          <w:szCs w:val="20"/>
        </w:rPr>
        <w:noBreakHyphen/>
        <w:t xml:space="preserve">approved standardized grading scale shall not be used to meet the eligibility requirements for the Palmetto Fellows Scholarship. </w:t>
      </w:r>
      <w:r w:rsidR="00D53A0D"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8A2538"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t>(H)</w:t>
      </w:r>
      <w:r w:rsidRPr="008A2538">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w:t>
      </w:r>
      <w:r w:rsidRPr="008A2538">
        <w:rPr>
          <w:u w:val="single"/>
        </w:rPr>
        <w:t>or who accepted the LIFE Scholarship for attendance at a public two-year or technical institution</w:t>
      </w:r>
      <w:r w:rsidRPr="008A2538">
        <w:t xml:space="preserve">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A2538">
        <w:noBreakHyphen/>
        <w:t>of</w:t>
      </w:r>
      <w:r w:rsidRPr="008A2538">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w:t>
      </w:r>
      <w:r w:rsidR="00492493" w:rsidRPr="008A2538">
        <w:t xml:space="preserve">graduated from high school with a </w:t>
      </w:r>
      <w:r w:rsidR="00492493" w:rsidRPr="008A2538">
        <w:rPr>
          <w:strike/>
        </w:rPr>
        <w:t>minimum of a 3.0</w:t>
      </w:r>
      <w:r w:rsidR="00492493" w:rsidRPr="008A2538">
        <w:t xml:space="preserve"> </w:t>
      </w:r>
      <w:r w:rsidR="00492493" w:rsidRPr="008A2538">
        <w:rPr>
          <w:u w:val="single"/>
        </w:rPr>
        <w:t>2.99 or better</w:t>
      </w:r>
      <w:r w:rsidR="00492493" w:rsidRPr="008A2538">
        <w:t xml:space="preserve"> cumulative </w:t>
      </w:r>
      <w:r w:rsidRPr="008A2538">
        <w:rPr>
          <w:rFonts w:eastAsia="Times New Roman" w:cs="Times New Roman"/>
          <w:szCs w:val="20"/>
        </w:rPr>
        <w:t xml:space="preserve">grade average on a 4.0 scale and have scored 1100 or better on </w:t>
      </w:r>
      <w:r w:rsidRPr="00E03F3B">
        <w:rPr>
          <w:rFonts w:eastAsia="Times New Roman" w:cs="Times New Roman"/>
          <w:szCs w:val="20"/>
        </w:rPr>
        <w:t xml:space="preserve">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A2538"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u w:color="000000"/>
        </w:rPr>
        <w:tab/>
        <w:t>“</w:t>
      </w:r>
      <w:r w:rsidRPr="008A2538">
        <w:rPr>
          <w:rFonts w:eastAsia="Times New Roman" w:cs="Times New Roman"/>
          <w:szCs w:val="20"/>
        </w:rPr>
        <w:t>(C)</w:t>
      </w:r>
      <w:r w:rsidRPr="008A2538">
        <w:rPr>
          <w:rFonts w:eastAsia="Times New Roman" w:cs="Times New Roman"/>
          <w:szCs w:val="20"/>
        </w:rPr>
        <w:tab/>
        <w:t xml:space="preserve">A student </w:t>
      </w:r>
      <w:r w:rsidRPr="008A2538">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8A2538">
        <w:rPr>
          <w:rFonts w:eastAsia="Times New Roman" w:cs="Times New Roman"/>
          <w:szCs w:val="20"/>
        </w:rPr>
        <w:t xml:space="preserve"> </w:t>
      </w:r>
      <w:r w:rsidRPr="008A2538">
        <w:rPr>
          <w:rFonts w:eastAsia="Times New Roman" w:cs="Times New Roman"/>
          <w:szCs w:val="20"/>
          <w:u w:val="single"/>
        </w:rPr>
        <w:t>must have graduated from high school with a minimum of a 3.0 cumulative grade point average to be eligible to receive an SC HOPE Scholarship. A</w:t>
      </w:r>
      <w:r w:rsidRPr="008A2538">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Default="00D53A0D"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SECTION</w:t>
      </w:r>
      <w:r w:rsidRPr="008A2538">
        <w:rPr>
          <w:rFonts w:eastAsia="Times New Roman" w:cs="Times New Roman"/>
          <w:snapToGrid w:val="0"/>
          <w:szCs w:val="20"/>
        </w:rPr>
        <w:tab/>
        <w:t>26.</w:t>
      </w:r>
      <w:r w:rsidRPr="008A2538">
        <w:rPr>
          <w:rFonts w:eastAsia="Times New Roman" w:cs="Times New Roman"/>
          <w:snapToGrid w:val="0"/>
          <w:szCs w:val="20"/>
        </w:rPr>
        <w:tab/>
        <w:t>A.</w:t>
      </w:r>
      <w:r w:rsidRPr="008A2538">
        <w:rPr>
          <w:rFonts w:eastAsia="Times New Roman" w:cs="Times New Roman"/>
          <w:snapToGrid w:val="0"/>
          <w:szCs w:val="20"/>
        </w:rPr>
        <w:tab/>
        <w:t>Chapter 150, Title 59 of the 1976 Code is amended by adding:</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t>“Section 59</w:t>
      </w:r>
      <w:r w:rsidRPr="00CC6F7F">
        <w:rPr>
          <w:rFonts w:eastAsia="Times New Roman" w:cs="Times New Roman"/>
          <w:snapToGrid w:val="0"/>
          <w:szCs w:val="20"/>
        </w:rPr>
        <w:noBreakHyphen/>
        <w:t>150</w:t>
      </w:r>
      <w:r w:rsidRPr="00CC6F7F">
        <w:rPr>
          <w:rFonts w:eastAsia="Times New Roman" w:cs="Times New Roman"/>
          <w:snapToGrid w:val="0"/>
          <w:szCs w:val="20"/>
        </w:rPr>
        <w:noBreakHyphen/>
        <w:t>365.</w:t>
      </w:r>
      <w:r w:rsidRPr="00CC6F7F">
        <w:rPr>
          <w:rFonts w:eastAsia="Times New Roman" w:cs="Times New Roman"/>
          <w:snapToGrid w:val="0"/>
          <w:szCs w:val="20"/>
        </w:rPr>
        <w:tab/>
        <w:t>(A)(1)</w:t>
      </w:r>
      <w:r w:rsidRPr="00CC6F7F">
        <w:rPr>
          <w:rFonts w:eastAsia="Times New Roman" w:cs="Times New Roman"/>
          <w:snapToGrid w:val="0"/>
          <w:szCs w:val="20"/>
        </w:rPr>
        <w:tab/>
        <w:t>A student is eligible to receive an additional South Carolina Workforce Industry Needs Scholarship (SCWINS) if the student is attending a two-year public technical college and:</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(a)</w:t>
      </w:r>
      <w:r w:rsidRPr="00CC6F7F">
        <w:rPr>
          <w:rFonts w:eastAsia="Times New Roman" w:cs="Times New Roman"/>
          <w:snapToGrid w:val="0"/>
          <w:szCs w:val="20"/>
        </w:rPr>
        <w:tab/>
        <w:t>is majoring in a critical workforce area program as defined and recommended by the State Board for Technical and Comprehensive Education (SBTCE) and ratified by the South Carolina Coordinating Council for Workforce Development, and is receiving a Lottery Tuition Assistance Program Scholarship (LTAP) for the current school year; or</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(b)</w:t>
      </w:r>
      <w:r w:rsidRPr="00CC6F7F">
        <w:rPr>
          <w:rFonts w:eastAsia="Times New Roman" w:cs="Times New Roman"/>
          <w:snapToGrid w:val="0"/>
          <w:szCs w:val="20"/>
        </w:rPr>
        <w:tab/>
        <w:t>meets the income eligibility guidelines for free and reduced</w:t>
      </w:r>
      <w:r w:rsidRPr="00CC6F7F">
        <w:rPr>
          <w:rFonts w:eastAsia="Times New Roman" w:cs="Times New Roman"/>
          <w:snapToGrid w:val="0"/>
          <w:szCs w:val="20"/>
        </w:rPr>
        <w:noBreakHyphen/>
        <w:t>priced meals as established by the United States Department of Agriculture (USDA), and is receiving an LTAP scholarship for the current year regardless of the student’s major.</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t>(2)</w:t>
      </w:r>
      <w:r w:rsidRPr="00CC6F7F">
        <w:rPr>
          <w:rFonts w:eastAsia="Times New Roman" w:cs="Times New Roman"/>
          <w:snapToGrid w:val="0"/>
          <w:szCs w:val="20"/>
        </w:rPr>
        <w:tab/>
        <w:t>Subject to the funds appropriated, the SCWINS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p>
    <w:p w:rsidR="008A2538" w:rsidRPr="003B7FC3"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r>
      <w:r w:rsidRPr="003B7FC3">
        <w:rPr>
          <w:rFonts w:eastAsia="Times New Roman" w:cs="Times New Roman"/>
          <w:snapToGrid w:val="0"/>
          <w:szCs w:val="20"/>
        </w:rPr>
        <w:tab/>
        <w:t>(3)</w:t>
      </w:r>
      <w:r w:rsidRPr="003B7FC3">
        <w:rPr>
          <w:rFonts w:eastAsia="Times New Roman" w:cs="Times New Roman"/>
          <w:snapToGrid w:val="0"/>
          <w:szCs w:val="20"/>
        </w:rPr>
        <w:tab/>
        <w:t xml:space="preserve">During a student’s freshman year, the student must be </w:t>
      </w:r>
      <w:r w:rsidR="008A2538" w:rsidRPr="003B7FC3">
        <w:rPr>
          <w:rFonts w:eastAsia="Times New Roman" w:cs="Times New Roman"/>
          <w:snapToGrid w:val="0"/>
          <w:szCs w:val="20"/>
        </w:rPr>
        <w:t>enrolled in at least six credit hours of instruction each semester, including at least three credit hours of instruction in one of the critical workforce areas defined by the SBTCE. A student who meets the income guidelines</w:t>
      </w:r>
      <w:r w:rsidR="008A2538" w:rsidRPr="008A2538">
        <w:rPr>
          <w:rFonts w:eastAsia="Times New Roman" w:cs="Times New Roman"/>
          <w:snapToGrid w:val="0"/>
          <w:szCs w:val="20"/>
        </w:rPr>
        <w:t xml:space="preserve"> for free and reduced-priced meals as established by the USDA must be enrolled in at least six credit hours of instruction each semester for the purpose of meeting the required minimum level of instruction in the student’s major courses during the student’s freshman year. To receive the additional SCWINS scholarship each school year, the student must receive the underlying LTAP scholarship for that school year and must be making acceptable progress each school year toward receiving a degree pursuant to this section. Dual enrollment courses taken in high school in these critical workforce area programs count toward the </w:t>
      </w:r>
      <w:r w:rsidR="008A2538" w:rsidRPr="003B7FC3">
        <w:rPr>
          <w:rFonts w:eastAsia="Times New Roman" w:cs="Times New Roman"/>
          <w:snapToGrid w:val="0"/>
          <w:szCs w:val="20"/>
        </w:rPr>
        <w:t>fulfillment of the minimum requirement.</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t>(4)(a)</w:t>
      </w:r>
      <w:r w:rsidRPr="00CC6F7F">
        <w:rPr>
          <w:rFonts w:eastAsia="Times New Roman" w:cs="Times New Roman"/>
          <w:snapToGrid w:val="0"/>
          <w:szCs w:val="20"/>
        </w:rPr>
        <w:tab/>
        <w:t>For students participating in the scholarship program pursuant to item (1)(b), as a condition of participation in the scholarship program, a student must:</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(i)</w:t>
      </w:r>
      <w:r w:rsidRPr="00CC6F7F">
        <w:rPr>
          <w:rFonts w:eastAsia="Times New Roman" w:cs="Times New Roman"/>
          <w:snapToGrid w:val="0"/>
          <w:szCs w:val="20"/>
        </w:rPr>
        <w:tab/>
        <w:t>receive career counseling from the institution in which he will enroll for the purpose of discussing the student’s interests, career goals, regional and statewide career opportunities, and required courses necessary to pursue employment in the student’s chosen field; and</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r>
      <w:r w:rsidRPr="00CC6F7F">
        <w:rPr>
          <w:rFonts w:eastAsia="Times New Roman" w:cs="Times New Roman"/>
          <w:snapToGrid w:val="0"/>
          <w:szCs w:val="20"/>
        </w:rPr>
        <w:tab/>
        <w:t>(ii)</w:t>
      </w:r>
      <w:r w:rsidRPr="00CC6F7F">
        <w:rPr>
          <w:rFonts w:eastAsia="Times New Roman" w:cs="Times New Roman"/>
          <w:snapToGrid w:val="0"/>
          <w:szCs w:val="20"/>
        </w:rPr>
        <w:tab/>
        <w:t>meet with a guidance counselor from the institution prior to registering for classes each semester to review and receive guidance on the student’s progress, career goals, and the class selection recommended to meet these goals.</w:t>
      </w:r>
    </w:p>
    <w:p w:rsidR="008A2538" w:rsidRPr="003B7FC3"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r>
      <w:r w:rsidRPr="003B7FC3">
        <w:rPr>
          <w:rFonts w:eastAsia="Times New Roman" w:cs="Times New Roman"/>
          <w:snapToGrid w:val="0"/>
          <w:szCs w:val="20"/>
        </w:rPr>
        <w:tab/>
      </w:r>
      <w:r w:rsidRPr="003B7FC3">
        <w:rPr>
          <w:rFonts w:eastAsia="Times New Roman" w:cs="Times New Roman"/>
          <w:snapToGrid w:val="0"/>
          <w:szCs w:val="20"/>
        </w:rPr>
        <w:tab/>
        <w:t>(b)</w:t>
      </w:r>
      <w:r w:rsidRPr="003B7FC3">
        <w:rPr>
          <w:rFonts w:eastAsia="Times New Roman" w:cs="Times New Roman"/>
          <w:snapToGrid w:val="0"/>
          <w:szCs w:val="20"/>
        </w:rPr>
        <w:tab/>
        <w:t>The institution shall verify participation required pursuant to this subsection to the SBTCE prior to any award.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ab/>
        <w:t>(B)</w:t>
      </w:r>
      <w:r w:rsidRPr="003B7FC3">
        <w:rPr>
          <w:rFonts w:eastAsia="Times New Roman" w:cs="Times New Roman"/>
          <w:snapToGrid w:val="0"/>
          <w:szCs w:val="20"/>
        </w:rPr>
        <w:tab/>
        <w:t>The SBTCE shall promulgate regulations to define what constitutes a critical workforce program area. Nothing herein prevents a student from changing</w:t>
      </w:r>
      <w:r w:rsidRPr="008A2538">
        <w:rPr>
          <w:rFonts w:eastAsia="Times New Roman" w:cs="Times New Roman"/>
          <w:snapToGrid w:val="0"/>
          <w:szCs w:val="20"/>
        </w:rPr>
        <w:t xml:space="preserve"> majors within the acceptable disciplines. Additionally, the SBTCE shall annually communicate with high school guidance counselors regarding the list of qualifying majors. The critical workforce program list must be reviewed at least every five years and adjusted based on workforce trends and industry needs. Critical workforce program additions or deletions must be ratified by the South Carolina Coordinating Council for Workforce Development.</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(C)</w:t>
      </w:r>
      <w:r w:rsidRPr="008A2538">
        <w:rPr>
          <w:rFonts w:eastAsia="Times New Roman" w:cs="Times New Roman"/>
          <w:snapToGrid w:val="0"/>
          <w:szCs w:val="20"/>
        </w:rPr>
        <w:tab/>
        <w:t>If the additional SCWINS scholarship is lost, then it may be regained in the same manner that the underlying LTAP scholarship is regained.</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(D)</w:t>
      </w:r>
      <w:r w:rsidRPr="008A2538">
        <w:rPr>
          <w:rFonts w:eastAsia="Times New Roman" w:cs="Times New Roman"/>
          <w:snapToGrid w:val="0"/>
          <w:szCs w:val="20"/>
        </w:rPr>
        <w:tab/>
        <w:t>In order for a student to be eligible after attempting twenty</w:t>
      </w:r>
      <w:r w:rsidRPr="008A2538">
        <w:rPr>
          <w:rFonts w:eastAsia="Times New Roman" w:cs="Times New Roman"/>
          <w:snapToGrid w:val="0"/>
          <w:szCs w:val="20"/>
        </w:rPr>
        <w:noBreakHyphen/>
        <w:t>four academic credit hours, the student must have earned a grade point average of 2.0 or better on a 4.0 grading scale.</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(E)</w:t>
      </w:r>
      <w:r w:rsidRPr="008A2538">
        <w:rPr>
          <w:rFonts w:eastAsia="Times New Roman" w:cs="Times New Roman"/>
          <w:snapToGrid w:val="0"/>
          <w:szCs w:val="20"/>
        </w:rPr>
        <w:tab/>
        <w:t>A student may not be eligible to receive the SCWINS scholarship for more than one certificate, diploma, or degree within any five</w:t>
      </w:r>
      <w:r w:rsidRPr="008A2538">
        <w:rPr>
          <w:rFonts w:eastAsia="Times New Roman" w:cs="Times New Roman"/>
          <w:snapToGrid w:val="0"/>
          <w:szCs w:val="20"/>
        </w:rPr>
        <w:noBreakHyphen/>
        <w:t>year period unless the additional certificate, diploma, or degree constitutes progress in the same field of study.</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(F)</w:t>
      </w:r>
      <w:r w:rsidRPr="008A2538">
        <w:rPr>
          <w:rFonts w:eastAsia="Times New Roman" w:cs="Times New Roman"/>
          <w:snapToGrid w:val="0"/>
          <w:szCs w:val="20"/>
        </w:rPr>
        <w:tab/>
        <w:t>A dual</w:t>
      </w:r>
      <w:r w:rsidRPr="008A2538">
        <w:rPr>
          <w:rFonts w:eastAsia="Times New Roman" w:cs="Times New Roman"/>
          <w:snapToGrid w:val="0"/>
          <w:szCs w:val="20"/>
        </w:rPr>
        <w:noBreakHyphen/>
        <w:t>enrollment student in high school who is majoring in one of the critical workforce areas and receives an LTAP scholarship at a technical college qualifies for the SCWINS scholarship. A dual enrollment student in high school who receives an LTAP scholarship at a technical college and qualifies for free and reduced</w:t>
      </w:r>
      <w:r w:rsidRPr="008A2538">
        <w:rPr>
          <w:rFonts w:eastAsia="Times New Roman" w:cs="Times New Roman"/>
          <w:snapToGrid w:val="0"/>
          <w:szCs w:val="20"/>
        </w:rPr>
        <w:noBreakHyphen/>
        <w:t>priced meals also qualifies for the SCWINS scholarship regardless of the student’s major.</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(G)</w:t>
      </w:r>
      <w:r w:rsidRPr="008A2538">
        <w:rPr>
          <w:rFonts w:eastAsia="Times New Roman" w:cs="Times New Roman"/>
          <w:snapToGrid w:val="0"/>
          <w:szCs w:val="20"/>
        </w:rPr>
        <w:tab/>
        <w:t>Additionally, an up to three</w:t>
      </w:r>
      <w:r w:rsidRPr="008A2538">
        <w:rPr>
          <w:rFonts w:eastAsia="Times New Roman" w:cs="Times New Roman"/>
          <w:snapToGrid w:val="0"/>
          <w:szCs w:val="20"/>
        </w:rPr>
        <w:noBreakHyphen/>
        <w:t>hundred</w:t>
      </w:r>
      <w:r w:rsidRPr="008A2538">
        <w:rPr>
          <w:rFonts w:eastAsia="Times New Roman" w:cs="Times New Roman"/>
          <w:snapToGrid w:val="0"/>
          <w:szCs w:val="20"/>
        </w:rPr>
        <w:noBreakHyphen/>
        <w:t>dollar book allowance each school year is applied to the account of an SCWINS recipient who is majoring in one of the critical workforce areas, for expenses toward the cost of textbooks.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(H)</w:t>
      </w:r>
      <w:r w:rsidRPr="008A2538">
        <w:rPr>
          <w:rFonts w:eastAsia="Times New Roman" w:cs="Times New Roman"/>
          <w:snapToGrid w:val="0"/>
          <w:szCs w:val="20"/>
        </w:rPr>
        <w:tab/>
        <w:t>If a critical workforce area program is placed on suspension during the SBTCE’s annual program evaluation process, then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8A2538" w:rsidRPr="008A2538" w:rsidRDefault="008A2538" w:rsidP="008A2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A2538">
        <w:rPr>
          <w:rFonts w:eastAsia="Times New Roman" w:cs="Times New Roman"/>
          <w:snapToGrid w:val="0"/>
          <w:szCs w:val="20"/>
        </w:rPr>
        <w:tab/>
        <w:t>(I)</w:t>
      </w:r>
      <w:r w:rsidRPr="008A2538">
        <w:rPr>
          <w:rFonts w:eastAsia="Times New Roman" w:cs="Times New Roman"/>
          <w:snapToGrid w:val="0"/>
          <w:szCs w:val="20"/>
        </w:rPr>
        <w:tab/>
        <w:t>The SBTCE shall develop career counseling standards to be implemented by all colleges in the SBTCE system.”</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sidRPr="00CC6F7F">
        <w:rPr>
          <w:rFonts w:eastAsia="Times New Roman" w:cs="Times New Roman"/>
          <w:snapToGrid w:val="0"/>
          <w:szCs w:val="20"/>
        </w:rPr>
        <w:t>(J)</w:t>
      </w:r>
      <w:r w:rsidRPr="00CC6F7F">
        <w:rPr>
          <w:rFonts w:eastAsia="Times New Roman" w:cs="Times New Roman"/>
          <w:snapToGrid w:val="0"/>
          <w:szCs w:val="20"/>
        </w:rPr>
        <w:tab/>
        <w:t>The SBTCE shall develop, through a nonprofit organization, a privately funded intense mentoring and career guidance program for students qualifying for the scholarship program under subsection (A)(1)(b). The program must, to the best of its ability, match an individual student’s selection of major with an appropriate mentor. In order to receive an SCWINS scholarship, the student must participate in the mentoring program. The role of the mentor is to eliminate barriers associated with college access by serving as an encourager and a knowledgeable advisor about the chosen career field. The SBTCE shall annually report to the General Assembly all relevant data concerning the mentoring program, including, but not limited to, the number of mentors recruited and students participating in the program.</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C6F7F">
        <w:rPr>
          <w:rFonts w:eastAsia="Times New Roman" w:cs="Times New Roman"/>
          <w:snapToGrid w:val="0"/>
          <w:szCs w:val="20"/>
        </w:rPr>
        <w:tab/>
        <w:t>(K)</w:t>
      </w:r>
      <w:r w:rsidRPr="00CC6F7F">
        <w:rPr>
          <w:rFonts w:eastAsia="Times New Roman" w:cs="Times New Roman"/>
          <w:snapToGrid w:val="0"/>
          <w:szCs w:val="20"/>
        </w:rPr>
        <w:tab/>
        <w:t>The SBTCE shall maintain data about student utilization of the scholarship, including, but not limited to, the number of students who continue to use the scholarship after the first semester, who continue to use the scholarship after the first year, who complete their course of study while utilizing the scholarship, and, to the extent possible, the number of students who are employed following their degree program. The SBTCE shall annually provide this information to the General Assembly.”</w:t>
      </w:r>
    </w:p>
    <w:p w:rsidR="00CC6F7F" w:rsidRPr="00CC6F7F"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A2538"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B7FC3">
        <w:rPr>
          <w:rFonts w:eastAsia="Times New Roman" w:cs="Times New Roman"/>
          <w:snapToGrid w:val="0"/>
          <w:szCs w:val="20"/>
        </w:rPr>
        <w:t>B.</w:t>
      </w:r>
      <w:r w:rsidRPr="003B7FC3">
        <w:rPr>
          <w:rFonts w:eastAsia="Times New Roman" w:cs="Times New Roman"/>
          <w:snapToGrid w:val="0"/>
          <w:szCs w:val="20"/>
        </w:rPr>
        <w:tab/>
        <w:t>This SECTION takes effect on July 1, 2020 and first applies to the 2020-2021 school year. Section 59-150-365(A)(1)(b) and any references to students who are eligible under this provision are repealed on December 31, 2026 unless reauthorized by the General Assembly.</w:t>
      </w:r>
    </w:p>
    <w:p w:rsidR="00CC6F7F" w:rsidRPr="00E03F3B" w:rsidRDefault="00CC6F7F" w:rsidP="00CC6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492493" w:rsidRDefault="0049249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27</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0678A3"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FF0000"/>
          <w:szCs w:val="20"/>
        </w:rPr>
      </w:pPr>
    </w:p>
    <w:p w:rsidR="000678A3" w:rsidRPr="000678A3"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8A3">
        <w:rPr>
          <w:rFonts w:cs="Times New Roman"/>
          <w:color w:val="000000" w:themeColor="text1"/>
          <w:u w:color="000000" w:themeColor="text1"/>
        </w:rPr>
        <w:tab/>
        <w:t>“Section 59</w:t>
      </w:r>
      <w:r w:rsidRPr="000678A3">
        <w:rPr>
          <w:rFonts w:cs="Times New Roman"/>
          <w:color w:val="000000" w:themeColor="text1"/>
          <w:u w:color="000000" w:themeColor="text1"/>
        </w:rPr>
        <w:noBreakHyphen/>
        <w:t>53</w:t>
      </w:r>
      <w:r w:rsidRPr="000678A3">
        <w:rPr>
          <w:rFonts w:cs="Times New Roman"/>
          <w:color w:val="000000" w:themeColor="text1"/>
          <w:u w:color="000000" w:themeColor="text1"/>
        </w:rPr>
        <w:noBreakHyphen/>
        <w:t>30.</w:t>
      </w:r>
      <w:r w:rsidRPr="000678A3">
        <w:rPr>
          <w:rFonts w:cs="Times New Roman"/>
          <w:color w:val="000000" w:themeColor="text1"/>
          <w:u w:color="000000" w:themeColor="text1"/>
        </w:rPr>
        <w:tab/>
      </w:r>
      <w:r w:rsidRPr="000678A3">
        <w:rPr>
          <w:rFonts w:cs="Times New Roman"/>
          <w:color w:val="000000" w:themeColor="text1"/>
          <w:u w:val="single" w:color="000000" w:themeColor="text1"/>
        </w:rPr>
        <w:t>(A)</w:t>
      </w:r>
      <w:r w:rsidRPr="000678A3">
        <w:rPr>
          <w:rFonts w:cs="Times New Roman"/>
          <w:color w:val="000000" w:themeColor="text1"/>
          <w:u w:color="000000" w:themeColor="text1"/>
        </w:rPr>
        <w:tab/>
        <w:t xml:space="preserve">Institutions of the South Carolina Technical Education System </w:t>
      </w:r>
      <w:r w:rsidRPr="000678A3">
        <w:rPr>
          <w:rFonts w:cs="Times New Roman"/>
          <w:strike/>
          <w:color w:val="000000" w:themeColor="text1"/>
          <w:u w:color="000000" w:themeColor="text1"/>
        </w:rPr>
        <w:t>shall maintain open admissions policies unless determined to be economically unfeasible by the State Fiscal Accountability Authority and</w:t>
      </w:r>
      <w:r w:rsidRPr="000678A3">
        <w:rPr>
          <w:rFonts w:cs="Times New Roman"/>
          <w:color w:val="000000" w:themeColor="text1"/>
          <w:u w:color="000000" w:themeColor="text1"/>
        </w:rPr>
        <w:t xml:space="preserve"> </w:t>
      </w:r>
      <w:r w:rsidRPr="000678A3">
        <w:rPr>
          <w:rFonts w:cs="Times New Roman"/>
          <w:color w:val="000000" w:themeColor="text1"/>
          <w:u w:val="single" w:color="000000" w:themeColor="text1"/>
        </w:rPr>
        <w:t xml:space="preserve">are allowed to have differing admissions policies if necessary to meet local workforce needs and may </w:t>
      </w:r>
      <w:r w:rsidRPr="000678A3">
        <w:rPr>
          <w:rFonts w:cs="Times New Roman"/>
          <w:color w:val="000000" w:themeColor="text1"/>
          <w:u w:color="000000" w:themeColor="text1"/>
        </w:rPr>
        <w:t>establish and maintain low tuition and fees in order to provide access to post</w:t>
      </w:r>
      <w:r w:rsidRPr="000678A3">
        <w:rPr>
          <w:rFonts w:cs="Times New Roman"/>
          <w:color w:val="000000" w:themeColor="text1"/>
          <w:u w:color="000000" w:themeColor="text1"/>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u w:color="000000"/>
        </w:rPr>
        <w:t>SECTION</w:t>
      </w:r>
      <w:r>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36</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C94EB9">
        <w:rPr>
          <w:rFonts w:eastAsia="Times New Roman" w:cs="Times New Roman"/>
          <w:szCs w:val="20"/>
          <w:u w:color="000000"/>
        </w:rPr>
        <w:t>N</w:t>
      </w:r>
      <w:r w:rsidR="00C94EB9">
        <w:rPr>
          <w:rFonts w:eastAsia="Times New Roman" w:cs="Times New Roman"/>
          <w:szCs w:val="20"/>
          <w:u w:color="000000"/>
        </w:rPr>
        <w:tab/>
        <w:t>38</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39</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41</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C94EB9">
        <w:rPr>
          <w:rFonts w:cs="Times New Roman"/>
          <w:u w:color="000000" w:themeColor="text1"/>
        </w:rPr>
        <w:t>CTION</w:t>
      </w:r>
      <w:r w:rsidR="00C94EB9">
        <w:rPr>
          <w:rFonts w:cs="Times New Roman"/>
          <w:u w:color="000000" w:themeColor="text1"/>
        </w:rPr>
        <w:tab/>
        <w:t>42</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 xml:space="preserve">adopt, and revise as necessary, a </w:t>
      </w:r>
      <w:r w:rsidRPr="003B7FC3">
        <w:rPr>
          <w:rFonts w:cs="Times New Roman"/>
          <w:u w:val="single" w:color="000000" w:themeColor="text1"/>
        </w:rPr>
        <w:t>policy that each local school board must use to develop and implement a plan that directs</w:t>
      </w:r>
      <w:r w:rsidRPr="003B7FC3">
        <w:rPr>
          <w:rFonts w:cs="Times New Roman"/>
          <w:u w:color="000000" w:themeColor="text1"/>
        </w:rPr>
        <w:t xml:space="preserve"> the principal of each elementary school having </w:t>
      </w:r>
      <w:r w:rsidRPr="003B7FC3">
        <w:rPr>
          <w:rFonts w:cs="Times New Roman"/>
          <w:strike/>
          <w:u w:color="000000" w:themeColor="text1"/>
        </w:rPr>
        <w:t>grades one</w:t>
      </w:r>
      <w:r w:rsidRPr="003B7FC3">
        <w:rPr>
          <w:rFonts w:cs="Times New Roman"/>
          <w:u w:color="000000" w:themeColor="text1"/>
        </w:rPr>
        <w:t xml:space="preserve"> </w:t>
      </w:r>
      <w:r w:rsidRPr="003B7FC3">
        <w:rPr>
          <w:rFonts w:cs="Times New Roman"/>
          <w:u w:val="single" w:color="000000" w:themeColor="text1"/>
        </w:rPr>
        <w:t>kindergarten</w:t>
      </w:r>
      <w:r w:rsidRPr="003B7FC3">
        <w:rPr>
          <w:rFonts w:cs="Times New Roman"/>
          <w:u w:color="000000" w:themeColor="text1"/>
        </w:rPr>
        <w:t xml:space="preserve"> through </w:t>
      </w:r>
      <w:r w:rsidRPr="003B7FC3">
        <w:rPr>
          <w:rFonts w:cs="Times New Roman"/>
          <w:strike/>
          <w:u w:color="000000" w:themeColor="text1"/>
        </w:rPr>
        <w:t>six</w:t>
      </w:r>
      <w:r w:rsidRPr="003B7FC3">
        <w:rPr>
          <w:rFonts w:cs="Times New Roman"/>
          <w:u w:val="single" w:color="000000" w:themeColor="text1"/>
        </w:rPr>
        <w:t xml:space="preserve"> fifth grade to provide all full</w:t>
      </w:r>
      <w:r w:rsidRPr="003B7FC3">
        <w:rPr>
          <w:rFonts w:cs="Times New Roman"/>
          <w:u w:val="single" w:color="000000" w:themeColor="text1"/>
        </w:rPr>
        <w:noBreakHyphen/>
        <w:t xml:space="preserve">time teachers who are assigned to a classroom with at least thirty minutes of unencumbered time on each regular school </w:t>
      </w:r>
      <w:r w:rsidR="00CC6F7F" w:rsidRPr="003B7FC3">
        <w:rPr>
          <w:u w:val="single" w:color="000000" w:themeColor="text1"/>
        </w:rPr>
        <w:t xml:space="preserve">day. </w:t>
      </w:r>
      <w:r w:rsidR="00CC6F7F" w:rsidRPr="003B7FC3">
        <w:rPr>
          <w:u w:val="single"/>
        </w:rPr>
        <w:t>In addition to elementary schools, a principal shall provide to any teacher who is responsible for instructing a student who is removed from the general education setting for more than forty percent of the day at least thirty minutes of unencumbered time on each regular school day</w:t>
      </w:r>
      <w:r w:rsidR="00CC6F7F" w:rsidRPr="003B7FC3">
        <w:t xml:space="preserve"> </w:t>
      </w:r>
      <w:r w:rsidR="00CC6F7F" w:rsidRPr="003B7FC3">
        <w:rPr>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CC6F7F" w:rsidRPr="003B7FC3">
        <w:rPr>
          <w:u w:color="000000" w:themeColor="text1"/>
        </w:rPr>
        <w:t xml:space="preserve">. </w:t>
      </w:r>
      <w:r w:rsidR="00CC6F7F" w:rsidRPr="003B7FC3">
        <w:rPr>
          <w:strike/>
          <w:u w:color="000000" w:themeColor="text1"/>
        </w:rPr>
        <w:t>The implementation of the plan shall not impose additional costs on the school districts. The regulations shall direct that the plan be in effect for the 1984 85 school year.</w:t>
      </w:r>
      <w:r w:rsidR="00CC6F7F">
        <w:rPr>
          <w:u w:color="000000" w:themeColor="text1"/>
        </w:rPr>
        <w:tab/>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43</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44</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SECTION</w:t>
      </w:r>
      <w:r>
        <w:rPr>
          <w:snapToGrid w:val="0"/>
        </w:rPr>
        <w:tab/>
        <w:t>45</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46</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47</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8A2538"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48</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C94EB9">
        <w:rPr>
          <w:rFonts w:eastAsia="Times New Roman" w:cs="Times New Roman"/>
          <w:szCs w:val="20"/>
          <w:u w:color="000000"/>
        </w:rPr>
        <w:t>ON</w:t>
      </w:r>
      <w:r w:rsidR="00C94EB9">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w:t>
      </w:r>
      <w:r>
        <w:rPr>
          <w:rFonts w:eastAsia="Times New Roman" w:cs="Times New Roman"/>
          <w:szCs w:val="20"/>
          <w:u w:color="000000"/>
        </w:rPr>
        <w:tab/>
        <w:t>53</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SECTION</w:t>
      </w:r>
      <w:r w:rsidRPr="008A2538">
        <w:tab/>
        <w:t>54.</w:t>
      </w:r>
      <w:r w:rsidRPr="008A2538">
        <w:tab/>
        <w:t>Section 59</w:t>
      </w:r>
      <w:r w:rsidRPr="008A2538">
        <w:noBreakHyphen/>
        <w:t>19</w:t>
      </w:r>
      <w:r w:rsidRPr="008A2538">
        <w:noBreakHyphen/>
        <w:t>350(A)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t>“Section 59-19-350.</w:t>
      </w:r>
      <w:r w:rsidRPr="008A2538">
        <w:tab/>
        <w:t>(A)</w:t>
      </w:r>
      <w:r w:rsidRPr="008A2538">
        <w:rPr>
          <w:u w:val="single"/>
        </w:rPr>
        <w:t>(1)(a)</w:t>
      </w:r>
      <w:r w:rsidRPr="008A2538">
        <w:tab/>
        <w:t xml:space="preserve">A local school district board of trustees of this State desirous of creating an avenue for new, innovative, and more flexible ways of educating children within their district, may create </w:t>
      </w:r>
      <w:r w:rsidRPr="008A2538">
        <w:rPr>
          <w:strike/>
        </w:rPr>
        <w:t>a school</w:t>
      </w:r>
      <w:r w:rsidRPr="008A2538">
        <w:t xml:space="preserve"> </w:t>
      </w:r>
      <w:r w:rsidRPr="008A2538">
        <w:rPr>
          <w:u w:val="single"/>
        </w:rPr>
        <w:t>schools</w:t>
      </w:r>
      <w:r w:rsidRPr="008A2538">
        <w:t xml:space="preserve"> of </w:t>
      </w:r>
      <w:r w:rsidRPr="008A2538">
        <w:rPr>
          <w:strike/>
        </w:rPr>
        <w:t>choice</w:t>
      </w:r>
      <w:r w:rsidRPr="008A2538">
        <w:t xml:space="preserve"> </w:t>
      </w:r>
      <w:r w:rsidRPr="008A2538">
        <w:rPr>
          <w:u w:val="single"/>
        </w:rPr>
        <w:t>innovation</w:t>
      </w:r>
      <w:r w:rsidRPr="008A2538">
        <w:t xml:space="preserve"> within the district that </w:t>
      </w:r>
      <w:r w:rsidRPr="008A2538">
        <w:rPr>
          <w:strike/>
        </w:rPr>
        <w:t>is</w:t>
      </w:r>
      <w:r w:rsidRPr="008A2538">
        <w:t xml:space="preserve"> </w:t>
      </w:r>
      <w:r w:rsidRPr="008A2538">
        <w:rPr>
          <w:u w:val="single"/>
        </w:rPr>
        <w:t>are</w:t>
      </w:r>
      <w:r w:rsidRPr="008A2538">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A2538">
        <w:noBreakHyphen/>
        <w:t xml:space="preserve">thirds affirmative vote of the board for each exemption and the proposed exemption is approved by </w:t>
      </w:r>
      <w:r w:rsidRPr="008A2538">
        <w:rPr>
          <w:u w:val="single"/>
        </w:rPr>
        <w:t>a two-thirds affirmative vote of</w:t>
      </w:r>
      <w:r w:rsidRPr="008A2538">
        <w:t xml:space="preserve"> the State Board of Education.</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538">
        <w:tab/>
      </w:r>
      <w:r w:rsidRPr="008A2538">
        <w:tab/>
      </w:r>
      <w:r w:rsidRPr="008A2538">
        <w:tab/>
      </w:r>
      <w:r w:rsidRPr="008A2538">
        <w:rPr>
          <w:u w:val="single"/>
        </w:rPr>
        <w:t>(b)</w:t>
      </w:r>
      <w:r w:rsidRPr="008A2538">
        <w:tab/>
      </w:r>
      <w:r w:rsidRPr="008A2538">
        <w:rPr>
          <w:u w:val="single"/>
        </w:rPr>
        <w:t>If there is an opening start date provided in statute, then the provisions of subitem (a) do not apply. A school of innovation cannot be exempt from a statutory opening-date requirement unless the district establishes a twelve-month calendar that incurs no more than a break of five consecutive weeks during the twelve-month calendar.</w:t>
      </w: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tab/>
      </w:r>
      <w:r w:rsidRPr="008A2538">
        <w:tab/>
      </w:r>
      <w:r w:rsidRPr="008A2538">
        <w:rPr>
          <w:u w:val="single"/>
        </w:rPr>
        <w:t>(2)</w:t>
      </w:r>
      <w:r w:rsidRPr="008A2538">
        <w:tab/>
      </w:r>
      <w:r w:rsidRPr="008A2538">
        <w:rPr>
          <w:u w:val="single"/>
        </w:rPr>
        <w:t>Nothing in this section permits a local school district board of trustees to relinquish control of the schools created pursuant to item (1).</w:t>
      </w:r>
      <w:r w:rsidRPr="008A2538">
        <w:t>”</w:t>
      </w:r>
      <w:r w:rsidR="00AD542E" w:rsidRPr="008A2538">
        <w:tab/>
      </w:r>
    </w:p>
    <w:p w:rsidR="00D53A0D" w:rsidRPr="008A2538"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SECTION</w:t>
      </w:r>
      <w:r w:rsidRPr="008A2538">
        <w:rPr>
          <w:rFonts w:eastAsia="Times New Roman" w:cs="Times New Roman"/>
          <w:szCs w:val="20"/>
        </w:rPr>
        <w:tab/>
        <w:t>55.</w:t>
      </w:r>
      <w:r w:rsidRPr="008A2538">
        <w:rPr>
          <w:rFonts w:eastAsia="Times New Roman" w:cs="Times New Roman"/>
          <w:szCs w:val="20"/>
        </w:rPr>
        <w:tab/>
        <w:t>Section 59-1-425(A) of the 1976 Code is amended to read:</w:t>
      </w:r>
    </w:p>
    <w:p w:rsidR="0002723A"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8A2538" w:rsidRDefault="0002723A" w:rsidP="0002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ab/>
        <w:t>“Section 59</w:t>
      </w:r>
      <w:r w:rsidRPr="008A2538">
        <w:rPr>
          <w:rFonts w:eastAsia="Times New Roman" w:cs="Times New Roman"/>
          <w:szCs w:val="20"/>
        </w:rPr>
        <w:noBreakHyphen/>
        <w:t>1</w:t>
      </w:r>
      <w:r w:rsidRPr="008A2538">
        <w:rPr>
          <w:rFonts w:eastAsia="Times New Roman" w:cs="Times New Roman"/>
          <w:szCs w:val="20"/>
        </w:rPr>
        <w:noBreakHyphen/>
        <w:t>425.</w:t>
      </w:r>
      <w:r w:rsidRPr="008A2538">
        <w:rPr>
          <w:rFonts w:eastAsia="Times New Roman" w:cs="Times New Roman"/>
          <w:szCs w:val="20"/>
        </w:rPr>
        <w:tab/>
        <w:t>(A)</w:t>
      </w:r>
      <w:r w:rsidRPr="008A2538">
        <w:rPr>
          <w:rFonts w:eastAsia="Times New Roman" w:cs="Times New Roman"/>
          <w:szCs w:val="2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w:t>
      </w:r>
      <w:r w:rsidRPr="008A2538">
        <w:rPr>
          <w:rFonts w:eastAsia="Times New Roman" w:cs="Times New Roman"/>
          <w:strike/>
          <w:szCs w:val="20"/>
        </w:rPr>
        <w:t>beginning with the 2007</w:t>
      </w:r>
      <w:r w:rsidRPr="008A2538">
        <w:rPr>
          <w:rFonts w:eastAsia="Times New Roman" w:cs="Times New Roman"/>
          <w:strike/>
          <w:szCs w:val="20"/>
        </w:rPr>
        <w:noBreakHyphen/>
        <w:t>2008 school year,</w:t>
      </w:r>
      <w:r w:rsidRPr="008A2538">
        <w:rPr>
          <w:rFonts w:eastAsia="Times New Roman" w:cs="Times New Roman"/>
          <w:szCs w:val="20"/>
        </w:rPr>
        <w:t xml:space="preserve"> the opening date for students must not be before </w:t>
      </w:r>
      <w:r w:rsidRPr="008A2538">
        <w:rPr>
          <w:rFonts w:eastAsia="Times New Roman" w:cs="Times New Roman"/>
          <w:strike/>
          <w:szCs w:val="20"/>
        </w:rPr>
        <w:t>the third Monday in</w:t>
      </w:r>
      <w:r w:rsidRPr="008A2538">
        <w:rPr>
          <w:rFonts w:eastAsia="Times New Roman" w:cs="Times New Roman"/>
          <w:szCs w:val="20"/>
        </w:rPr>
        <w:t xml:space="preserve"> August </w:t>
      </w:r>
      <w:r w:rsidRPr="008A2538">
        <w:rPr>
          <w:rFonts w:eastAsia="Times New Roman" w:cs="Times New Roman"/>
          <w:szCs w:val="20"/>
          <w:u w:val="single"/>
        </w:rPr>
        <w:t>fifteenth</w:t>
      </w:r>
      <w:r w:rsidRPr="008A2538">
        <w:rPr>
          <w:rFonts w:eastAsia="Times New Roman" w:cs="Times New Roman"/>
          <w:szCs w:val="20"/>
        </w:rPr>
        <w:t>, except for schools operating on a year</w:t>
      </w:r>
      <w:r w:rsidRPr="008A2538">
        <w:rPr>
          <w:rFonts w:eastAsia="Times New Roman" w:cs="Times New Roman"/>
          <w:szCs w:val="20"/>
        </w:rPr>
        <w:noBreakHyphen/>
        <w:t xml:space="preserve">round modified school calendar. </w:t>
      </w:r>
      <w:r w:rsidRPr="008A2538">
        <w:rPr>
          <w:rFonts w:eastAsia="Times New Roman" w:cs="Times New Roman"/>
          <w:szCs w:val="20"/>
          <w:u w:val="single"/>
        </w:rPr>
        <w:t>If August fifteenth falls on a weekday other than a Monday, then the opening start date must not be before the preceeding Monday. If August fifteenth falls on a weekend, then the opening start date must not be before the subsequent Monday.</w:t>
      </w:r>
      <w:r w:rsidRPr="008A2538">
        <w:rPr>
          <w:rFonts w:eastAsia="Times New Roman" w:cs="Times New Roman"/>
          <w:szCs w:val="20"/>
        </w:rPr>
        <w:t xml:space="preserve"> Three days must be used for collegial professional development based upon the educational standards as required by Section 59</w:t>
      </w:r>
      <w:r w:rsidRPr="008A2538">
        <w:rPr>
          <w:rFonts w:eastAsia="Times New Roman" w:cs="Times New Roman"/>
          <w:szCs w:val="20"/>
        </w:rPr>
        <w:noBreakHyphen/>
        <w:t>18</w:t>
      </w:r>
      <w:r w:rsidRPr="008A2538">
        <w:rPr>
          <w:rFonts w:eastAsia="Times New Roman" w:cs="Times New Roman"/>
          <w:szCs w:val="2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r w:rsidRPr="008A2538">
        <w:rPr>
          <w:rFonts w:eastAsia="Times New Roman" w:cs="Times New Roman"/>
          <w:szCs w:val="20"/>
          <w:u w:val="single"/>
        </w:rPr>
        <w:t>A local school district board of trustees must modify the first semester calendar for the purpose of administering exams prior to the beginning of any scheduled December break.</w:t>
      </w:r>
      <w:r w:rsidRPr="008A2538">
        <w:rPr>
          <w:rFonts w:eastAsia="Times New Roman" w:cs="Times New Roman"/>
          <w:szCs w:val="20"/>
        </w:rPr>
        <w:t>”</w:t>
      </w:r>
      <w:r w:rsidRPr="008A2538">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A2538">
        <w:rPr>
          <w:rFonts w:eastAsia="Times New Roman" w:cs="Times New Roman"/>
          <w:szCs w:val="20"/>
        </w:rPr>
        <w:t>B.</w:t>
      </w:r>
      <w:r w:rsidRPr="008A2538">
        <w:rPr>
          <w:rFonts w:eastAsia="Times New Roman" w:cs="Times New Roman"/>
          <w:szCs w:val="20"/>
        </w:rPr>
        <w:tab/>
        <w:t xml:space="preserve">This SECTION is effective contingent upon funding in the annual </w:t>
      </w:r>
      <w:r w:rsidRPr="00E03F3B">
        <w:rPr>
          <w:rFonts w:eastAsia="Times New Roman" w:cs="Times New Roman"/>
          <w:szCs w:val="20"/>
        </w:rPr>
        <w:t>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56</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C94EB9"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57</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58</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00E03F3B"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w:t>
      </w:r>
      <w:r w:rsidR="00C94EB9">
        <w:rPr>
          <w:rFonts w:eastAsia="Times New Roman" w:cs="Times New Roman"/>
          <w:szCs w:val="20"/>
        </w:rPr>
        <w:t>9</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C94EB9">
        <w:rPr>
          <w:rFonts w:eastAsia="Times New Roman" w:cs="Times New Roman"/>
          <w:szCs w:val="20"/>
        </w:rPr>
        <w:t>60</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AB7D32" w:rsidRPr="00E03F3B"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Pr>
          <w:rFonts w:eastAsia="Times New Roman" w:cs="Times New Roman"/>
          <w:bCs/>
          <w:szCs w:val="20"/>
        </w:rPr>
        <w:t>SECTION</w:t>
      </w:r>
      <w:r>
        <w:rPr>
          <w:rFonts w:eastAsia="Times New Roman" w:cs="Times New Roman"/>
          <w:bCs/>
          <w:szCs w:val="20"/>
        </w:rPr>
        <w:tab/>
        <w:t>62</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63</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C94EB9"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64</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C94EB9"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65</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C94EB9"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eastAsia="Times New Roman" w:cs="Times New Roman"/>
          <w:snapToGrid w:val="0"/>
          <w:szCs w:val="20"/>
        </w:rPr>
        <w:t>SECTION</w:t>
      </w:r>
      <w:r>
        <w:rPr>
          <w:rFonts w:eastAsia="Times New Roman" w:cs="Times New Roman"/>
          <w:snapToGrid w:val="0"/>
          <w:szCs w:val="20"/>
        </w:rPr>
        <w:tab/>
        <w:t>67</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C94EB9"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Pr>
          <w:rFonts w:eastAsia="Times New Roman" w:cs="Times New Roman"/>
          <w:snapToGrid w:val="0"/>
          <w:szCs w:val="20"/>
        </w:rPr>
        <w:t>SECTION 68</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0678A3"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0678A3" w:rsidRDefault="00C94EB9"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Pr>
          <w:color w:val="000000" w:themeColor="text1"/>
          <w:szCs w:val="24"/>
          <w:u w:color="000000" w:themeColor="text1"/>
          <w:shd w:val="clear" w:color="auto" w:fill="FFFFFF"/>
        </w:rPr>
        <w:t>SECTION</w:t>
      </w:r>
      <w:r>
        <w:rPr>
          <w:color w:val="000000" w:themeColor="text1"/>
          <w:szCs w:val="24"/>
          <w:u w:color="000000" w:themeColor="text1"/>
          <w:shd w:val="clear" w:color="auto" w:fill="FFFFFF"/>
        </w:rPr>
        <w:tab/>
        <w:t>69</w:t>
      </w:r>
      <w:r w:rsidR="000678A3" w:rsidRPr="000678A3">
        <w:rPr>
          <w:color w:val="000000" w:themeColor="text1"/>
          <w:szCs w:val="24"/>
          <w:u w:color="000000" w:themeColor="text1"/>
          <w:shd w:val="clear" w:color="auto" w:fill="FFFFFF"/>
        </w:rPr>
        <w:t>.</w:t>
      </w:r>
      <w:r w:rsidR="000678A3" w:rsidRPr="000678A3">
        <w:rPr>
          <w:color w:val="000000" w:themeColor="text1"/>
          <w:szCs w:val="24"/>
          <w:u w:color="000000" w:themeColor="text1"/>
          <w:shd w:val="clear" w:color="auto" w:fill="FFFFFF"/>
        </w:rPr>
        <w:tab/>
      </w:r>
      <w:r w:rsidR="000678A3" w:rsidRPr="000678A3">
        <w:rPr>
          <w:color w:val="000000" w:themeColor="text1"/>
        </w:rPr>
        <w:t>Section 59</w:t>
      </w:r>
      <w:r w:rsidR="000678A3" w:rsidRPr="000678A3">
        <w:rPr>
          <w:color w:val="000000" w:themeColor="text1"/>
        </w:rPr>
        <w:noBreakHyphen/>
        <w:t>6</w:t>
      </w:r>
      <w:r w:rsidR="000678A3" w:rsidRPr="000678A3">
        <w:rPr>
          <w:color w:val="000000" w:themeColor="text1"/>
        </w:rPr>
        <w:noBreakHyphen/>
        <w:t>10 of the 1976 Code is amended to read: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t>“Section 59</w:t>
      </w:r>
      <w:r w:rsidRPr="000678A3">
        <w:rPr>
          <w:color w:val="000000" w:themeColor="text1"/>
        </w:rPr>
        <w:noBreakHyphen/>
        <w:t>6</w:t>
      </w:r>
      <w:r w:rsidRPr="000678A3">
        <w:rPr>
          <w:color w:val="000000" w:themeColor="text1"/>
        </w:rPr>
        <w:noBreakHyphen/>
        <w:t>10.</w:t>
      </w:r>
      <w:r w:rsidRPr="000678A3">
        <w:rPr>
          <w:color w:val="000000" w:themeColor="text1"/>
        </w:rPr>
        <w:tab/>
        <w:t>(A)</w:t>
      </w:r>
      <w:r w:rsidRPr="000678A3">
        <w:rPr>
          <w:color w:val="000000" w:themeColor="text1"/>
        </w:rPr>
        <w:tab/>
      </w:r>
      <w:r w:rsidRPr="000678A3">
        <w:rPr>
          <w:strike/>
          <w:color w:val="000000" w:themeColor="text1"/>
        </w:rPr>
        <w:t>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review and monitor the implementation and evaluation of the Education Accountability Act and Education Improvement Act programs and funding;</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make programmatic and funding recommendations to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report annually to the General Assembly, State Board of Education, and the public on the progress of the programs;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recommend Education Accountability Act and EIA program changes to state agencies and other entities as it considers necessary.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The committee consists of the following persons: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Speaker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President Pro Tempore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Chairman of the Education and Public Works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Chairman of the Education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(5) Governor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(6) Chairman of the Ways and Means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(7) Chairman of the Finance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(8) State Superintendent of Education or the superintendent</w:t>
      </w:r>
      <w:r w:rsidRPr="000678A3">
        <w:rPr>
          <w:rFonts w:cs="Times New Roman"/>
          <w:strike/>
          <w:color w:val="000000" w:themeColor="text1"/>
        </w:rPr>
        <w:t>’</w:t>
      </w:r>
      <w:r w:rsidRPr="000678A3">
        <w:rPr>
          <w:strike/>
          <w:color w:val="000000" w:themeColor="text1"/>
        </w:rPr>
        <w:t>s designee who shall be an ex officio nonvoting member;</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0678A3">
        <w:rPr>
          <w:strike/>
          <w:color w:val="000000" w:themeColor="text1"/>
        </w:rPr>
        <w:noBreakHyphen/>
        <w:t>13</w:t>
      </w:r>
      <w:r w:rsidRPr="000678A3">
        <w:rPr>
          <w:strike/>
          <w:color w:val="000000" w:themeColor="text1"/>
        </w:rPr>
        <w:noBreakHyphen/>
        <w:t>770. Their terms of office on the committee must be coterminous with their terms of office as Governor, Superintendent of Education, or members of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initial terms of two years shall be served by the two members of the business and industry community appointed by the chairmen of the Education Committees;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initial terms of three years shall be served by the members of the education community appointed by the President Pro Tempore of the Senate and the Speaker of the House;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all other voting members shall serve initial four</w:t>
      </w:r>
      <w:r w:rsidRPr="000678A3">
        <w:rPr>
          <w:strike/>
          <w:color w:val="000000" w:themeColor="text1"/>
        </w:rPr>
        <w:noBreakHyphen/>
        <w:t>year terms. The terms of chairman and vice chairman shall be two years. At the end of each two</w:t>
      </w:r>
      <w:r w:rsidRPr="000678A3">
        <w:rPr>
          <w:strike/>
          <w:color w:val="000000" w:themeColor="text1"/>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strike/>
          <w:color w:val="000000" w:themeColor="text1"/>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0678A3">
        <w:rPr>
          <w:color w:val="000000" w:themeColor="text1"/>
        </w:rPr>
        <w:t xml:space="preserve"> </w:t>
      </w:r>
      <w:r w:rsidRPr="000678A3">
        <w:rPr>
          <w:color w:val="000000" w:themeColor="text1"/>
          <w:u w:val="single"/>
        </w:rPr>
        <w:t>Effective July 1, 2021, the Education Oversight Committee is abolished and its functions, powers, duties, responsibilities, and authority are devolved upon the State Department of Education.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u w:val="single"/>
        </w:rPr>
        <w:t>(B)(1)</w:t>
      </w:r>
      <w:r w:rsidRPr="000678A3">
        <w:rPr>
          <w:color w:val="000000" w:themeColor="text1"/>
        </w:rPr>
        <w:tab/>
      </w:r>
      <w:r w:rsidRPr="000678A3">
        <w:rPr>
          <w:color w:val="000000" w:themeColor="text1"/>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rPr>
        <w:tab/>
      </w:r>
      <w:r w:rsidRPr="000678A3">
        <w:rPr>
          <w:color w:val="000000" w:themeColor="text1"/>
          <w:u w:val="single"/>
        </w:rPr>
        <w:t>(2)</w:t>
      </w:r>
      <w:r w:rsidRPr="000678A3">
        <w:rPr>
          <w:color w:val="000000" w:themeColor="text1"/>
        </w:rPr>
        <w:tab/>
      </w:r>
      <w:r w:rsidRPr="000678A3">
        <w:rPr>
          <w:color w:val="000000" w:themeColor="text1"/>
          <w:u w:val="single"/>
        </w:rPr>
        <w:t>The joint committee shall consist of five members appointed by the Chairman of the House Education and Public Works Committee and five members appointed by the Chairman of the Senate Education Committee. The committee must be co</w:t>
      </w:r>
      <w:r w:rsidRPr="000678A3">
        <w:rPr>
          <w:color w:val="000000" w:themeColor="text1"/>
          <w:u w:val="single"/>
        </w:rPr>
        <w:noBreakHyphen/>
        <w:t xml:space="preserve">chaired by one member of the House and one member of the Senate.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0678A3">
        <w:rPr>
          <w:color w:val="000000" w:themeColor="text1"/>
        </w:rPr>
        <w:tab/>
      </w:r>
      <w:r w:rsidRPr="000678A3">
        <w:rPr>
          <w:color w:val="000000" w:themeColor="text1"/>
        </w:rPr>
        <w:tab/>
      </w:r>
      <w:r w:rsidRPr="000678A3">
        <w:rPr>
          <w:color w:val="000000" w:themeColor="text1"/>
          <w:u w:val="single"/>
        </w:rPr>
        <w:t>(3)</w:t>
      </w:r>
      <w:r w:rsidRPr="000678A3">
        <w:rPr>
          <w:color w:val="000000" w:themeColor="text1"/>
        </w:rPr>
        <w:tab/>
      </w:r>
      <w:r w:rsidRPr="000678A3">
        <w:rPr>
          <w:color w:val="000000" w:themeColor="text1"/>
          <w:u w:val="single"/>
        </w:rPr>
        <w:t>A report must be provided to the Speaker of the House and President of the Senate within ninety days after the first meeting of the joint committee, for the purpose of developing legislation to implement the requirements of subsection (A)</w:t>
      </w:r>
      <w:r w:rsidRPr="000678A3">
        <w:rPr>
          <w:color w:val="000000" w:themeColor="text1"/>
        </w:rPr>
        <w:t>.”</w:t>
      </w:r>
    </w:p>
    <w:p w:rsidR="000678A3" w:rsidRPr="00E03F3B"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C94EB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 70</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0678A3">
        <w:rPr>
          <w:rFonts w:eastAsia="Times New Roman" w:cs="Times New Roman"/>
          <w:szCs w:val="20"/>
          <w:u w:color="000000"/>
        </w:rPr>
        <w:t>7</w:t>
      </w:r>
      <w:r w:rsidR="00C94EB9">
        <w:rPr>
          <w:rFonts w:eastAsia="Times New Roman" w:cs="Times New Roman"/>
          <w:szCs w:val="20"/>
          <w:u w:color="000000"/>
        </w:rPr>
        <w:t>1</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802D6C" w:rsidRPr="00E03F3B" w:rsidRDefault="00802D6C" w:rsidP="00802D6C">
      <w:pPr>
        <w:jc w:val="both"/>
      </w:pPr>
    </w:p>
    <w:sectPr w:rsidR="00802D6C"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93" w:rsidRDefault="00492493">
      <w:r>
        <w:separator/>
      </w:r>
    </w:p>
  </w:endnote>
  <w:endnote w:type="continuationSeparator" w:id="0">
    <w:p w:rsidR="00492493" w:rsidRDefault="0049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802D6C">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93" w:rsidRPr="00196D86" w:rsidRDefault="0049249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802D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93" w:rsidRDefault="00492493">
      <w:r>
        <w:separator/>
      </w:r>
    </w:p>
  </w:footnote>
  <w:footnote w:type="continuationSeparator" w:id="0">
    <w:p w:rsidR="00492493" w:rsidRDefault="0049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2723A"/>
    <w:rsid w:val="00061EE8"/>
    <w:rsid w:val="000678A3"/>
    <w:rsid w:val="000A2A03"/>
    <w:rsid w:val="000C252E"/>
    <w:rsid w:val="00103BD7"/>
    <w:rsid w:val="0013374B"/>
    <w:rsid w:val="001D2463"/>
    <w:rsid w:val="001F0FA2"/>
    <w:rsid w:val="0021777C"/>
    <w:rsid w:val="002564D3"/>
    <w:rsid w:val="002B6473"/>
    <w:rsid w:val="002E3CEF"/>
    <w:rsid w:val="003B7FC3"/>
    <w:rsid w:val="00492493"/>
    <w:rsid w:val="005700DB"/>
    <w:rsid w:val="005834BA"/>
    <w:rsid w:val="005A4D62"/>
    <w:rsid w:val="00677EFC"/>
    <w:rsid w:val="0076442E"/>
    <w:rsid w:val="007863EC"/>
    <w:rsid w:val="007A308F"/>
    <w:rsid w:val="00802D6C"/>
    <w:rsid w:val="008416E1"/>
    <w:rsid w:val="008A2538"/>
    <w:rsid w:val="008F0409"/>
    <w:rsid w:val="00974C4C"/>
    <w:rsid w:val="00986909"/>
    <w:rsid w:val="009B3982"/>
    <w:rsid w:val="009C6E0D"/>
    <w:rsid w:val="009E3251"/>
    <w:rsid w:val="009E6DBB"/>
    <w:rsid w:val="009F141A"/>
    <w:rsid w:val="00A37FD7"/>
    <w:rsid w:val="00A43341"/>
    <w:rsid w:val="00AB7D32"/>
    <w:rsid w:val="00AD542E"/>
    <w:rsid w:val="00B200CB"/>
    <w:rsid w:val="00B20119"/>
    <w:rsid w:val="00B71A37"/>
    <w:rsid w:val="00BB2EF7"/>
    <w:rsid w:val="00BC6FEE"/>
    <w:rsid w:val="00BE0AB0"/>
    <w:rsid w:val="00C57FB9"/>
    <w:rsid w:val="00C94EB9"/>
    <w:rsid w:val="00CC6F7F"/>
    <w:rsid w:val="00D351F2"/>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762E"/>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E1ECE4B2</Template>
  <TotalTime>0</TotalTime>
  <Pages>87</Pages>
  <Words>29608</Words>
  <Characters>164876</Characters>
  <Application>Microsoft Office Word</Application>
  <DocSecurity>0</DocSecurity>
  <Lines>3676</Lines>
  <Paragraphs>655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194937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5, 2020) - South Carolina Legislature Online</dc:title>
  <dc:subject/>
  <dc:creator>Derrick Williamson</dc:creator>
  <cp:keywords/>
  <dc:description/>
  <cp:lastModifiedBy>Brent Walling</cp:lastModifiedBy>
  <cp:revision>2</cp:revision>
  <cp:lastPrinted>2020-03-05T17:50:00Z</cp:lastPrinted>
  <dcterms:created xsi:type="dcterms:W3CDTF">2020-03-05T18:04:00Z</dcterms:created>
  <dcterms:modified xsi:type="dcterms:W3CDTF">2020-03-05T18:04:00Z</dcterms:modified>
</cp:coreProperties>
</file>