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39B" w:rsidRDefault="00EA639B" w:rsidP="00EA639B">
      <w:pPr>
        <w:widowControl w:val="0"/>
        <w:jc w:val="center"/>
      </w:pPr>
      <w:r w:rsidRPr="00EA639B">
        <w:rPr>
          <w:b/>
        </w:rPr>
        <w:t>South Carolina General Assembly</w:t>
      </w:r>
    </w:p>
    <w:p w:rsidR="00EA639B" w:rsidRDefault="00EA639B" w:rsidP="00EA639B">
      <w:pPr>
        <w:widowControl w:val="0"/>
        <w:jc w:val="center"/>
      </w:pPr>
      <w:r>
        <w:t>124th Session, 2021-2022</w:t>
      </w:r>
    </w:p>
    <w:p w:rsidR="00EA639B" w:rsidRDefault="00EA639B" w:rsidP="00EA639B">
      <w:pPr>
        <w:widowControl w:val="0"/>
      </w:pPr>
    </w:p>
    <w:p w:rsidR="00EA639B" w:rsidRDefault="00EA639B" w:rsidP="00EA639B">
      <w:pPr>
        <w:widowControl w:val="0"/>
        <w:rPr>
          <w:b/>
        </w:rPr>
      </w:pPr>
      <w:r w:rsidRPr="00EA639B">
        <w:rPr>
          <w:b/>
        </w:rPr>
        <w:t>S.</w:t>
      </w:r>
      <w:r>
        <w:rPr>
          <w:b/>
        </w:rPr>
        <w:t xml:space="preserve"> </w:t>
      </w:r>
      <w:r w:rsidRPr="00EA639B">
        <w:rPr>
          <w:b/>
        </w:rPr>
        <w:t>295</w:t>
      </w:r>
    </w:p>
    <w:p w:rsidR="00EA639B" w:rsidRDefault="00EA639B" w:rsidP="00EA639B">
      <w:pPr>
        <w:widowControl w:val="0"/>
        <w:rPr>
          <w:b/>
        </w:rPr>
      </w:pPr>
    </w:p>
    <w:p w:rsidR="00EA639B" w:rsidRDefault="00EA639B" w:rsidP="00EA639B">
      <w:pPr>
        <w:widowControl w:val="0"/>
      </w:pPr>
      <w:r w:rsidRPr="00EA639B">
        <w:rPr>
          <w:b/>
        </w:rPr>
        <w:t>STATUS INFORMATION</w:t>
      </w:r>
    </w:p>
    <w:p w:rsidR="00EA639B" w:rsidRDefault="00EA639B" w:rsidP="00EA639B">
      <w:pPr>
        <w:widowControl w:val="0"/>
      </w:pPr>
    </w:p>
    <w:p w:rsidR="00EA639B" w:rsidRDefault="00EA639B" w:rsidP="00EA639B">
      <w:pPr>
        <w:widowControl w:val="0"/>
      </w:pPr>
      <w:r>
        <w:t>General Bill</w:t>
      </w:r>
    </w:p>
    <w:p w:rsidR="00EA639B" w:rsidRDefault="008A657C" w:rsidP="00EA639B">
      <w:pPr>
        <w:widowControl w:val="0"/>
      </w:pPr>
      <w:r>
        <w:t>Sponsors: Senators Climer, Fanning, Bennett and Allen</w:t>
      </w:r>
    </w:p>
    <w:p w:rsidR="00EA639B" w:rsidRDefault="00EA639B" w:rsidP="00EA639B">
      <w:pPr>
        <w:widowControl w:val="0"/>
      </w:pPr>
      <w:r>
        <w:t>Document Path: l:\s-res\wc\007prof.sp.wc.docx</w:t>
      </w:r>
    </w:p>
    <w:p w:rsidR="00EA639B" w:rsidRDefault="00EA639B" w:rsidP="00EA639B">
      <w:pPr>
        <w:widowControl w:val="0"/>
      </w:pPr>
    </w:p>
    <w:p w:rsidR="00E7764E" w:rsidRDefault="00E7764E" w:rsidP="00EA639B">
      <w:pPr>
        <w:widowControl w:val="0"/>
      </w:pPr>
      <w:r>
        <w:t>Introduced in the Senate on January 12, 2021</w:t>
      </w:r>
    </w:p>
    <w:p w:rsidR="00E7764E" w:rsidRDefault="00E7764E" w:rsidP="00EA639B">
      <w:pPr>
        <w:widowControl w:val="0"/>
      </w:pPr>
      <w:r>
        <w:t>Introduced in the House on April 5, 2022</w:t>
      </w:r>
    </w:p>
    <w:p w:rsidR="00E7764E" w:rsidRDefault="00E7764E" w:rsidP="00EA639B">
      <w:pPr>
        <w:widowControl w:val="0"/>
      </w:pPr>
      <w:r>
        <w:t>Last Amended on March 31, 2022</w:t>
      </w:r>
    </w:p>
    <w:p w:rsidR="00E7764E" w:rsidRPr="00E7764E" w:rsidRDefault="00E7764E" w:rsidP="00EA639B">
      <w:pPr>
        <w:widowControl w:val="0"/>
      </w:pPr>
      <w:r>
        <w:t xml:space="preserve">Currently residing in the House Committee on </w:t>
      </w:r>
      <w:r w:rsidRPr="00E7764E">
        <w:rPr>
          <w:b/>
        </w:rPr>
        <w:t>Labor, Commerce and Industry</w:t>
      </w:r>
    </w:p>
    <w:p w:rsidR="00E7764E" w:rsidRDefault="00E7764E" w:rsidP="00EA639B">
      <w:pPr>
        <w:widowControl w:val="0"/>
      </w:pPr>
    </w:p>
    <w:p w:rsidR="00EA639B" w:rsidRDefault="008B6DAB" w:rsidP="00EA639B">
      <w:pPr>
        <w:widowControl w:val="0"/>
      </w:pPr>
      <w:r>
        <w:t>Summary: Board regulation of professions and occupations</w:t>
      </w:r>
    </w:p>
    <w:p w:rsidR="00EA639B" w:rsidRDefault="00EA639B" w:rsidP="00EA639B">
      <w:pPr>
        <w:widowControl w:val="0"/>
      </w:pPr>
    </w:p>
    <w:p w:rsidR="00EA639B" w:rsidRDefault="00EA639B" w:rsidP="00EA639B">
      <w:pPr>
        <w:widowControl w:val="0"/>
      </w:pPr>
    </w:p>
    <w:p w:rsidR="00EA639B" w:rsidRDefault="00EA639B" w:rsidP="00EA639B">
      <w:pPr>
        <w:widowControl w:val="0"/>
        <w:tabs>
          <w:tab w:val="center" w:pos="590"/>
          <w:tab w:val="center" w:pos="1440"/>
          <w:tab w:val="left" w:pos="1872"/>
          <w:tab w:val="left" w:pos="9187"/>
        </w:tabs>
      </w:pPr>
      <w:r w:rsidRPr="00EA639B">
        <w:rPr>
          <w:b/>
        </w:rPr>
        <w:t>HISTORY OF LEGISLATIVE ACTIONS</w:t>
      </w:r>
    </w:p>
    <w:p w:rsidR="00EA639B" w:rsidRDefault="00EA639B" w:rsidP="00EA639B">
      <w:pPr>
        <w:widowControl w:val="0"/>
        <w:tabs>
          <w:tab w:val="center" w:pos="590"/>
          <w:tab w:val="center" w:pos="1440"/>
          <w:tab w:val="left" w:pos="1872"/>
          <w:tab w:val="left" w:pos="9187"/>
        </w:tabs>
      </w:pPr>
    </w:p>
    <w:p w:rsidR="00EA639B" w:rsidRPr="00EA639B" w:rsidRDefault="00EA639B" w:rsidP="00EA639B">
      <w:pPr>
        <w:widowControl w:val="0"/>
        <w:tabs>
          <w:tab w:val="center" w:pos="590"/>
          <w:tab w:val="center" w:pos="1440"/>
          <w:tab w:val="left" w:pos="1872"/>
          <w:tab w:val="left" w:pos="9187"/>
        </w:tabs>
      </w:pPr>
      <w:r w:rsidRPr="00EA639B">
        <w:rPr>
          <w:u w:val="single"/>
        </w:rPr>
        <w:tab/>
        <w:t>Date</w:t>
      </w:r>
      <w:r w:rsidRPr="00EA639B">
        <w:rPr>
          <w:u w:val="single"/>
        </w:rPr>
        <w:tab/>
        <w:t>Body</w:t>
      </w:r>
      <w:r w:rsidRPr="00EA639B">
        <w:rPr>
          <w:u w:val="single"/>
        </w:rPr>
        <w:tab/>
        <w:t>Action Description with journal page number</w:t>
      </w:r>
      <w:r w:rsidRPr="00EA639B">
        <w:rPr>
          <w:u w:val="single"/>
        </w:rPr>
        <w:tab/>
      </w:r>
    </w:p>
    <w:p w:rsidR="00BB49A0" w:rsidRDefault="00BB49A0" w:rsidP="00BB49A0">
      <w:pPr>
        <w:widowControl w:val="0"/>
        <w:tabs>
          <w:tab w:val="right" w:pos="1008"/>
          <w:tab w:val="left" w:pos="1152"/>
          <w:tab w:val="left" w:pos="1872"/>
          <w:tab w:val="left" w:pos="9187"/>
        </w:tabs>
        <w:ind w:left="2088" w:hanging="2088"/>
      </w:pPr>
      <w:r>
        <w:tab/>
        <w:t>12/9/2020</w:t>
      </w:r>
      <w:r>
        <w:tab/>
        <w:t>Senate</w:t>
      </w:r>
      <w:r>
        <w:tab/>
        <w:t>Prefiled</w:t>
      </w:r>
    </w:p>
    <w:p w:rsidR="00BB49A0" w:rsidRDefault="00BB49A0" w:rsidP="00BB49A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177CE">
        <w:rPr>
          <w:b/>
        </w:rPr>
        <w:t>Labor, Commerce and Industry</w:t>
      </w:r>
    </w:p>
    <w:p w:rsidR="00BB49A0" w:rsidRDefault="00BB49A0" w:rsidP="00BB49A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177CE">
          <w:rPr>
            <w:rStyle w:val="Hyperlink"/>
          </w:rPr>
          <w:t>Senate Journal</w:t>
        </w:r>
        <w:r w:rsidRPr="00A177CE">
          <w:rPr>
            <w:rStyle w:val="Hyperlink"/>
          </w:rPr>
          <w:noBreakHyphen/>
          <w:t>page 253</w:t>
        </w:r>
      </w:hyperlink>
      <w:r>
        <w:t>)</w:t>
      </w:r>
    </w:p>
    <w:p w:rsidR="00BB49A0" w:rsidRDefault="00BB49A0" w:rsidP="00BB49A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177CE">
        <w:rPr>
          <w:b/>
        </w:rPr>
        <w:t>Labor, Commerce and Industry</w:t>
      </w:r>
      <w:r>
        <w:t xml:space="preserve"> (</w:t>
      </w:r>
      <w:hyperlink r:id="rId7" w:history="1">
        <w:r w:rsidRPr="00A177CE">
          <w:rPr>
            <w:rStyle w:val="Hyperlink"/>
          </w:rPr>
          <w:t>Senate Journal</w:t>
        </w:r>
        <w:r w:rsidRPr="00A177CE">
          <w:rPr>
            <w:rStyle w:val="Hyperlink"/>
          </w:rPr>
          <w:noBreakHyphen/>
          <w:t>page 253</w:t>
        </w:r>
      </w:hyperlink>
      <w:r>
        <w:t>)</w:t>
      </w:r>
    </w:p>
    <w:p w:rsidR="00BB49A0" w:rsidRDefault="00BB49A0" w:rsidP="00BB49A0">
      <w:pPr>
        <w:widowControl w:val="0"/>
        <w:tabs>
          <w:tab w:val="right" w:pos="1008"/>
          <w:tab w:val="left" w:pos="1152"/>
          <w:tab w:val="left" w:pos="1872"/>
          <w:tab w:val="left" w:pos="9187"/>
        </w:tabs>
        <w:ind w:left="2088" w:hanging="2088"/>
      </w:pPr>
      <w:r>
        <w:tab/>
        <w:t>3/15/2022</w:t>
      </w:r>
      <w:r>
        <w:tab/>
        <w:t>Senate</w:t>
      </w:r>
      <w:r>
        <w:tab/>
        <w:t xml:space="preserve">Committee report: Favorable with amendment </w:t>
      </w:r>
      <w:r w:rsidRPr="00A177CE">
        <w:rPr>
          <w:b/>
        </w:rPr>
        <w:t>Labor, Commerce and Industry</w:t>
      </w:r>
      <w:r>
        <w:t xml:space="preserve"> (</w:t>
      </w:r>
      <w:hyperlink r:id="rId8" w:history="1">
        <w:r w:rsidRPr="00A177CE">
          <w:rPr>
            <w:rStyle w:val="Hyperlink"/>
          </w:rPr>
          <w:t>Senate Journal</w:t>
        </w:r>
        <w:r w:rsidRPr="00A177CE">
          <w:rPr>
            <w:rStyle w:val="Hyperlink"/>
          </w:rPr>
          <w:noBreakHyphen/>
          <w:t>page 14</w:t>
        </w:r>
      </w:hyperlink>
      <w:r>
        <w:t>)</w:t>
      </w:r>
    </w:p>
    <w:p w:rsidR="00BB49A0" w:rsidRDefault="00BB49A0" w:rsidP="00BB49A0">
      <w:pPr>
        <w:widowControl w:val="0"/>
        <w:tabs>
          <w:tab w:val="right" w:pos="1008"/>
          <w:tab w:val="left" w:pos="1152"/>
          <w:tab w:val="left" w:pos="1872"/>
          <w:tab w:val="left" w:pos="9187"/>
        </w:tabs>
        <w:ind w:left="2088" w:hanging="2088"/>
      </w:pPr>
      <w:r>
        <w:tab/>
        <w:t>3/16/2022</w:t>
      </w:r>
      <w:r>
        <w:tab/>
      </w:r>
      <w:r>
        <w:tab/>
        <w:t>Scrivener's error corrected</w:t>
      </w:r>
    </w:p>
    <w:p w:rsidR="00BB49A0" w:rsidRDefault="00BB49A0" w:rsidP="00BB49A0">
      <w:pPr>
        <w:widowControl w:val="0"/>
        <w:tabs>
          <w:tab w:val="right" w:pos="1008"/>
          <w:tab w:val="left" w:pos="1152"/>
          <w:tab w:val="left" w:pos="1872"/>
          <w:tab w:val="left" w:pos="9187"/>
        </w:tabs>
        <w:ind w:left="2088" w:hanging="2088"/>
      </w:pPr>
      <w:r>
        <w:tab/>
        <w:t>3/23/2022</w:t>
      </w:r>
      <w:r>
        <w:tab/>
        <w:t>Senate</w:t>
      </w:r>
      <w:r>
        <w:tab/>
        <w:t>Committee Amendment Adopted (</w:t>
      </w:r>
      <w:hyperlink r:id="rId9"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3/23/2022</w:t>
      </w:r>
      <w:r>
        <w:tab/>
        <w:t>Senate</w:t>
      </w:r>
      <w:r>
        <w:tab/>
        <w:t>Amended (</w:t>
      </w:r>
      <w:hyperlink r:id="rId10"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3/23/2022</w:t>
      </w:r>
      <w:r>
        <w:tab/>
        <w:t>Senate</w:t>
      </w:r>
      <w:r>
        <w:tab/>
        <w:t>Read second time (</w:t>
      </w:r>
      <w:hyperlink r:id="rId11"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3/23/2022</w:t>
      </w:r>
      <w:r>
        <w:tab/>
        <w:t>Senate</w:t>
      </w:r>
      <w:r>
        <w:tab/>
        <w:t>Roll call Ayes</w:t>
      </w:r>
      <w:r>
        <w:noBreakHyphen/>
        <w:t>44  Nays</w:t>
      </w:r>
      <w:r>
        <w:noBreakHyphen/>
        <w:t>0 (</w:t>
      </w:r>
      <w:hyperlink r:id="rId12"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3/24/2022</w:t>
      </w:r>
      <w:r>
        <w:tab/>
      </w:r>
      <w:r>
        <w:tab/>
        <w:t>Scrivener's error corrected</w:t>
      </w:r>
    </w:p>
    <w:p w:rsidR="00BB49A0" w:rsidRDefault="00BB49A0" w:rsidP="00BB49A0">
      <w:pPr>
        <w:widowControl w:val="0"/>
        <w:tabs>
          <w:tab w:val="right" w:pos="1008"/>
          <w:tab w:val="left" w:pos="1152"/>
          <w:tab w:val="left" w:pos="1872"/>
          <w:tab w:val="left" w:pos="9187"/>
        </w:tabs>
        <w:ind w:left="2088" w:hanging="2088"/>
      </w:pPr>
      <w:r>
        <w:tab/>
        <w:t>3/31/2022</w:t>
      </w:r>
      <w:r>
        <w:tab/>
        <w:t>Senate</w:t>
      </w:r>
      <w:r>
        <w:tab/>
        <w:t>Amended (</w:t>
      </w:r>
      <w:hyperlink r:id="rId13"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3/31/2022</w:t>
      </w:r>
      <w:r>
        <w:tab/>
        <w:t>Senate</w:t>
      </w:r>
      <w:r>
        <w:tab/>
        <w:t>Read third time and sent to House (</w:t>
      </w:r>
      <w:hyperlink r:id="rId14"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3/31/2022</w:t>
      </w:r>
      <w:r>
        <w:tab/>
        <w:t>Senate</w:t>
      </w:r>
      <w:r>
        <w:tab/>
        <w:t>Roll call Ayes</w:t>
      </w:r>
      <w:r>
        <w:noBreakHyphen/>
        <w:t>39  Nays</w:t>
      </w:r>
      <w:r>
        <w:noBreakHyphen/>
        <w:t>1 (</w:t>
      </w:r>
      <w:hyperlink r:id="rId15" w:history="1">
        <w:r w:rsidRPr="00A177CE">
          <w:rPr>
            <w:rStyle w:val="Hyperlink"/>
          </w:rPr>
          <w:t>Senate Journal</w:t>
        </w:r>
        <w:r w:rsidRPr="00A177CE">
          <w:rPr>
            <w:rStyle w:val="Hyperlink"/>
          </w:rPr>
          <w:noBreakHyphen/>
          <w:t>page 11</w:t>
        </w:r>
      </w:hyperlink>
      <w:r>
        <w:t>)</w:t>
      </w:r>
    </w:p>
    <w:p w:rsidR="00BB49A0" w:rsidRDefault="00BB49A0" w:rsidP="00BB49A0">
      <w:pPr>
        <w:widowControl w:val="0"/>
        <w:tabs>
          <w:tab w:val="right" w:pos="1008"/>
          <w:tab w:val="left" w:pos="1152"/>
          <w:tab w:val="left" w:pos="1872"/>
          <w:tab w:val="left" w:pos="9187"/>
        </w:tabs>
        <w:ind w:left="2088" w:hanging="2088"/>
      </w:pPr>
      <w:r>
        <w:tab/>
        <w:t>4/5/2022</w:t>
      </w:r>
      <w:r>
        <w:tab/>
        <w:t>House</w:t>
      </w:r>
      <w:r>
        <w:tab/>
        <w:t>Introduced and read first time (</w:t>
      </w:r>
      <w:hyperlink r:id="rId16" w:history="1">
        <w:r w:rsidRPr="00A177CE">
          <w:rPr>
            <w:rStyle w:val="Hyperlink"/>
          </w:rPr>
          <w:t>House Journal</w:t>
        </w:r>
        <w:r w:rsidRPr="00A177CE">
          <w:rPr>
            <w:rStyle w:val="Hyperlink"/>
          </w:rPr>
          <w:noBreakHyphen/>
          <w:t>page 40</w:t>
        </w:r>
      </w:hyperlink>
      <w:r>
        <w:t>)</w:t>
      </w:r>
    </w:p>
    <w:p w:rsidR="00BB49A0" w:rsidRDefault="00BB49A0" w:rsidP="00BB49A0">
      <w:pPr>
        <w:widowControl w:val="0"/>
        <w:tabs>
          <w:tab w:val="right" w:pos="1008"/>
          <w:tab w:val="left" w:pos="1152"/>
          <w:tab w:val="left" w:pos="1872"/>
          <w:tab w:val="left" w:pos="9187"/>
        </w:tabs>
        <w:ind w:left="2088" w:hanging="2088"/>
      </w:pPr>
      <w:r>
        <w:tab/>
        <w:t>4/5/2022</w:t>
      </w:r>
      <w:r>
        <w:tab/>
        <w:t>House</w:t>
      </w:r>
      <w:r>
        <w:tab/>
        <w:t xml:space="preserve">Referred to Committee on </w:t>
      </w:r>
      <w:r w:rsidRPr="00A177CE">
        <w:rPr>
          <w:b/>
        </w:rPr>
        <w:t>Labor, Commerce and Industry</w:t>
      </w:r>
      <w:r>
        <w:t xml:space="preserve"> (</w:t>
      </w:r>
      <w:hyperlink r:id="rId17" w:history="1">
        <w:r w:rsidRPr="00A177CE">
          <w:rPr>
            <w:rStyle w:val="Hyperlink"/>
          </w:rPr>
          <w:t>House Journal</w:t>
        </w:r>
        <w:r w:rsidRPr="00A177CE">
          <w:rPr>
            <w:rStyle w:val="Hyperlink"/>
          </w:rPr>
          <w:noBreakHyphen/>
          <w:t>page 40</w:t>
        </w:r>
      </w:hyperlink>
      <w:r>
        <w:t>)</w:t>
      </w:r>
    </w:p>
    <w:p w:rsidR="00BB49A0" w:rsidRDefault="00BB49A0" w:rsidP="00BB49A0">
      <w:pPr>
        <w:widowControl w:val="0"/>
        <w:tabs>
          <w:tab w:val="right" w:pos="1008"/>
          <w:tab w:val="left" w:pos="1152"/>
          <w:tab w:val="left" w:pos="1872"/>
          <w:tab w:val="left" w:pos="9187"/>
        </w:tabs>
        <w:ind w:left="2088" w:hanging="2088"/>
      </w:pPr>
    </w:p>
    <w:p w:rsidR="00EA639B" w:rsidRDefault="00EA639B" w:rsidP="00EA639B">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EA639B">
          <w:rPr>
            <w:rStyle w:val="Hyperlink"/>
          </w:rPr>
          <w:t>legislative information</w:t>
        </w:r>
      </w:hyperlink>
      <w:r>
        <w:t xml:space="preserve"> at the website</w:t>
      </w:r>
    </w:p>
    <w:p w:rsidR="00EA639B" w:rsidRDefault="00EA639B" w:rsidP="00EA639B">
      <w:pPr>
        <w:widowControl w:val="0"/>
        <w:tabs>
          <w:tab w:val="right" w:pos="1008"/>
          <w:tab w:val="left" w:pos="1152"/>
          <w:tab w:val="left" w:pos="1872"/>
          <w:tab w:val="left" w:pos="9187"/>
        </w:tabs>
        <w:ind w:left="2088" w:hanging="2088"/>
      </w:pPr>
    </w:p>
    <w:p w:rsidR="00EA639B" w:rsidRPr="00EA639B" w:rsidRDefault="00EA639B" w:rsidP="00EA639B">
      <w:pPr>
        <w:widowControl w:val="0"/>
        <w:tabs>
          <w:tab w:val="right" w:pos="1008"/>
          <w:tab w:val="left" w:pos="1152"/>
          <w:tab w:val="left" w:pos="1872"/>
          <w:tab w:val="left" w:pos="9187"/>
        </w:tabs>
        <w:ind w:left="2088" w:hanging="2088"/>
      </w:pPr>
    </w:p>
    <w:p w:rsidR="00EA639B" w:rsidRDefault="00EA639B" w:rsidP="00EA639B">
      <w:pPr>
        <w:widowControl w:val="0"/>
      </w:pPr>
      <w:r w:rsidRPr="00EA639B">
        <w:rPr>
          <w:b/>
        </w:rPr>
        <w:t>VERSIONS OF THIS BILL</w:t>
      </w:r>
    </w:p>
    <w:p w:rsidR="00EA639B" w:rsidRDefault="00EA639B" w:rsidP="00EA639B">
      <w:pPr>
        <w:widowControl w:val="0"/>
      </w:pPr>
    </w:p>
    <w:p w:rsidR="00EA639B" w:rsidRDefault="0041413F" w:rsidP="00EA639B">
      <w:pPr>
        <w:widowControl w:val="0"/>
      </w:pPr>
      <w:hyperlink r:id="rId19" w:history="1">
        <w:r w:rsidR="00EA639B">
          <w:rPr>
            <w:rStyle w:val="Hyperlink"/>
          </w:rPr>
          <w:t>12/9/2020</w:t>
        </w:r>
      </w:hyperlink>
    </w:p>
    <w:p w:rsidR="00EA639B" w:rsidRDefault="0041413F" w:rsidP="00EA639B">
      <w:hyperlink r:id="rId20" w:history="1">
        <w:r w:rsidR="008932DA" w:rsidRPr="008932DA">
          <w:rPr>
            <w:rStyle w:val="Hyperlink"/>
          </w:rPr>
          <w:t>3/15/2022</w:t>
        </w:r>
      </w:hyperlink>
    </w:p>
    <w:p w:rsidR="008932DA" w:rsidRDefault="0041413F" w:rsidP="00EA639B">
      <w:hyperlink r:id="rId21" w:history="1">
        <w:r w:rsidR="003A354E" w:rsidRPr="003A354E">
          <w:rPr>
            <w:rStyle w:val="Hyperlink"/>
          </w:rPr>
          <w:t>3/16/2022</w:t>
        </w:r>
      </w:hyperlink>
    </w:p>
    <w:p w:rsidR="003A354E" w:rsidRDefault="0041413F" w:rsidP="00EA639B">
      <w:hyperlink r:id="rId22" w:history="1">
        <w:r w:rsidR="001313EC" w:rsidRPr="001313EC">
          <w:rPr>
            <w:rStyle w:val="Hyperlink"/>
          </w:rPr>
          <w:t>3/23/2022</w:t>
        </w:r>
      </w:hyperlink>
    </w:p>
    <w:p w:rsidR="001313EC" w:rsidRDefault="0041413F" w:rsidP="00EA639B">
      <w:hyperlink r:id="rId23" w:history="1">
        <w:r w:rsidR="00204492" w:rsidRPr="00204492">
          <w:rPr>
            <w:rStyle w:val="Hyperlink"/>
          </w:rPr>
          <w:t>3/24/2022</w:t>
        </w:r>
      </w:hyperlink>
    </w:p>
    <w:p w:rsidR="00204492" w:rsidRDefault="0041413F" w:rsidP="00EA639B">
      <w:hyperlink r:id="rId24" w:history="1">
        <w:r w:rsidR="00490B22" w:rsidRPr="00490B22">
          <w:rPr>
            <w:rStyle w:val="Hyperlink"/>
          </w:rPr>
          <w:t>3/31/2022</w:t>
        </w:r>
      </w:hyperlink>
    </w:p>
    <w:p w:rsidR="00490B22" w:rsidRDefault="00490B22" w:rsidP="00EA639B"/>
    <w:p w:rsidR="00EA639B" w:rsidRDefault="00EA639B" w:rsidP="00EA639B">
      <w:pPr>
        <w:sectPr w:rsidR="00EA639B" w:rsidSect="00EA639B">
          <w:pgSz w:w="12240" w:h="15840" w:code="1"/>
          <w:pgMar w:top="1080" w:right="1440" w:bottom="1080" w:left="1440" w:header="720" w:footer="720" w:gutter="0"/>
          <w:cols w:space="720"/>
          <w:noEndnote/>
          <w:docGrid w:linePitch="360"/>
        </w:sectPr>
      </w:pP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2022</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DE053A" w:rsidRDefault="00490B22"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490B22" w:rsidRDefault="00490B22"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490B22" w:rsidRDefault="00490B22"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Climer, Fanning, Bennett and Allen</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Default="00490B22" w:rsidP="00D631FE">
      <w:pPr>
        <w:tabs>
          <w:tab w:val="right" w:pos="5933"/>
        </w:tabs>
        <w:suppressAutoHyphens/>
        <w:jc w:val="both"/>
        <w:rPr>
          <w:rFonts w:eastAsia="Times New Roman"/>
        </w:rPr>
      </w:pPr>
      <w:r>
        <w:rPr>
          <w:rFonts w:eastAsia="Times New Roman"/>
        </w:rPr>
        <w:t>S. Printed 3/31/22--S.</w:t>
      </w:r>
      <w:r>
        <w:rPr>
          <w:rFonts w:eastAsia="Times New Roman"/>
        </w:rPr>
        <w:tab/>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90B22" w:rsidRPr="00DE053A" w:rsidRDefault="00490B22"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DE053A" w:rsidRDefault="00490B22"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0B22" w:rsidSect="00DE053A">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8F023B" w:rsidRDefault="00490B22"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0B22" w:rsidRDefault="00490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t>1.</w:t>
      </w:r>
      <w:r w:rsidRPr="004B0455">
        <w:rPr>
          <w:rFonts w:eastAsia="Times New Roman"/>
        </w:rPr>
        <w:tab/>
        <w:t>Article 1, Chapter 1, Title 40 of the 1976 Code is amended by adding:</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CE7CD8"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B0455">
        <w:rPr>
          <w:rFonts w:eastAsia="Times New Roman"/>
        </w:rPr>
        <w:tab/>
      </w:r>
      <w:r w:rsidRPr="00CE7CD8">
        <w:rPr>
          <w:rFonts w:eastAsia="Times New Roman"/>
        </w:rPr>
        <w:t>“Section 40-1-75.</w:t>
      </w:r>
      <w:r w:rsidRPr="00CE7CD8">
        <w:rPr>
          <w:rFonts w:eastAsia="Times New Roman"/>
        </w:rPr>
        <w:tab/>
        <w:t>(A)(1)</w:t>
      </w:r>
      <w:r w:rsidRPr="00CE7CD8">
        <w:rPr>
          <w:rFonts w:eastAsia="Times New Roman"/>
        </w:rPr>
        <w:tab/>
        <w:t xml:space="preserve">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charges that have been dismissed, nol prossed, or adjudicated with a finding of not guilty as a justification for denying an applicant a license. </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7CD8">
        <w:rPr>
          <w:rFonts w:eastAsia="Times New Roman"/>
        </w:rPr>
        <w:tab/>
      </w:r>
      <w:r w:rsidRPr="00CE7CD8">
        <w:rPr>
          <w:rFonts w:eastAsia="Times New Roman"/>
        </w:rPr>
        <w:tab/>
        <w:t>(2)</w:t>
      </w:r>
      <w:r w:rsidRPr="00CE7CD8">
        <w:rPr>
          <w:rFonts w:eastAsia="Times New Roman"/>
        </w:rPr>
        <w:tab/>
        <w:t>An applicant who has completed relevant pre-licensing requirements may not be denied</w:t>
      </w:r>
      <w:r w:rsidRPr="001F4CB2">
        <w:rPr>
          <w:rFonts w:eastAsia="Times New Roman"/>
        </w:rPr>
        <w:t xml:space="preserve"> a license unless the appropriate regulatory board or commission has given the applicant an opportunity to appear at a hearing to determine the applicant’s fitness for the occupation or profession. The hearing must include specific references to which crimes, if any, the board or commission is considering in relation to the applicant’s fitness. The hearing must be scheduled within ninety days of the appropriate board or commission receiving notice that all relevant pre-licensing requirements have been completed.</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length of time since his conviction;</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direct relationship of the crime to the ability, capacity, and fitness required to perform the duties and discharge the responsibilities of the occupation or profession;</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any combination of the relevant factors identified in this subsection that the regulatory board or commission determines is necessary considering the totality of the circumstances.</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2</w:t>
      </w:r>
      <w:r w:rsidRPr="004B0455">
        <w:rPr>
          <w:rFonts w:eastAsia="Times New Roman"/>
        </w:rPr>
        <w:t>)</w:t>
      </w:r>
      <w:r w:rsidRPr="004B0455">
        <w:rPr>
          <w:rFonts w:eastAsia="Times New Roman"/>
        </w:rPr>
        <w:tab/>
        <w:t xml:space="preserve">If a regulatory board or commission denies a </w:t>
      </w:r>
      <w:r>
        <w:rPr>
          <w:rFonts w:eastAsia="Times New Roman"/>
        </w:rPr>
        <w:t>license</w:t>
      </w:r>
      <w:r w:rsidRPr="004B0455">
        <w:rPr>
          <w:rFonts w:eastAsia="Times New Roman"/>
        </w:rPr>
        <w:t xml:space="preserve"> application solely or in part because of the applicant’s prior conviction of a crime, then the regulatory board or commission must notify the applicant in writing of its decision. The notice shall provide:</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(a)</w:t>
      </w:r>
      <w:r w:rsidRPr="004B0455">
        <w:rPr>
          <w:rFonts w:eastAsia="Times New Roman"/>
        </w:rPr>
        <w:tab/>
        <w:t>the grounds for the denial;</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(b)</w:t>
      </w:r>
      <w:r w:rsidRPr="004B0455">
        <w:rPr>
          <w:rFonts w:eastAsia="Times New Roman"/>
        </w:rPr>
        <w:tab/>
        <w:t>notice that the individual has the right to a hearing to challenge the denial;</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(c)</w:t>
      </w:r>
      <w:r w:rsidRPr="004B0455">
        <w:rPr>
          <w:rFonts w:eastAsia="Times New Roman"/>
        </w:rPr>
        <w:tab/>
        <w:t>the earliest date that the applicant may again apply for licensure; and</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(d)</w:t>
      </w:r>
      <w:r w:rsidRPr="004B0455">
        <w:rPr>
          <w:rFonts w:eastAsia="Times New Roman"/>
        </w:rPr>
        <w:tab/>
        <w:t>a statement that evidence of rehabilitation may be considered upon reapplication.</w:t>
      </w:r>
      <w:r>
        <w:rPr>
          <w:rFonts w:eastAsia="Times New Roman"/>
        </w:rPr>
        <w:t>”</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40 of the 1976 Code is amended by adding:</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Pr>
          <w:rFonts w:eastAsia="Times New Roman"/>
        </w:rPr>
        <w:t>“</w:t>
      </w:r>
      <w:r w:rsidRPr="004B0455">
        <w:rPr>
          <w:rFonts w:eastAsia="Times New Roman"/>
        </w:rPr>
        <w:t>Section 40-1-77.</w:t>
      </w:r>
      <w:r w:rsidRPr="004B0455">
        <w:rPr>
          <w:rFonts w:eastAsia="Times New Roman"/>
        </w:rPr>
        <w:tab/>
        <w:t>(A)</w:t>
      </w:r>
      <w:r w:rsidRPr="004B0455">
        <w:rPr>
          <w:rFonts w:eastAsia="Times New Roman"/>
        </w:rPr>
        <w:tab/>
      </w:r>
      <w:r>
        <w:rPr>
          <w:rFonts w:eastAsia="Times New Roman"/>
        </w:rPr>
        <w:t>This section may be cited and referred to as the ‘Earn and Learn Act of 2022’.</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For the purposes of this section:</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B0455">
        <w:rPr>
          <w:rFonts w:eastAsia="Times New Roman"/>
        </w:rPr>
        <w:t>‘</w:t>
      </w:r>
      <w:r>
        <w:rPr>
          <w:rFonts w:eastAsia="Times New Roman"/>
        </w:rPr>
        <w:t>A</w:t>
      </w:r>
      <w:r w:rsidRPr="004B0455">
        <w:rPr>
          <w:rFonts w:eastAsia="Times New Roman"/>
        </w:rPr>
        <w:t xml:space="preserve">pprenticeship’ means a </w:t>
      </w:r>
      <w:r>
        <w:rPr>
          <w:rFonts w:eastAsia="Times New Roman"/>
        </w:rPr>
        <w:t xml:space="preserve">United States Department of Labor approved registered apprenticeship or industry recognized apprenticeship that encompasses an occupation or profession licensed by a South Carolina regulatory board or commission. </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‘Scope of practice’ means the procedures, actions, processes, and work that a person may perform pursuant to a license issued by an occupation’s or profession’s regulatory board.</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D</w:t>
      </w:r>
      <w:r w:rsidRPr="004B0455">
        <w:rPr>
          <w:rFonts w:eastAsia="Times New Roman"/>
        </w:rPr>
        <w:t>)</w:t>
      </w:r>
      <w:r w:rsidRPr="004B0455">
        <w:rPr>
          <w:rFonts w:eastAsia="Times New Roman"/>
        </w:rPr>
        <w:tab/>
      </w:r>
      <w:r>
        <w:rPr>
          <w:rFonts w:eastAsia="Times New Roman"/>
        </w:rPr>
        <w:t>A board shall issue a license to an applicant, if the applicant</w:t>
      </w:r>
      <w:r w:rsidRPr="004B0455">
        <w:rPr>
          <w:rFonts w:eastAsia="Times New Roman"/>
        </w:rPr>
        <w:t>:</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1</w:t>
      </w:r>
      <w:r w:rsidRPr="004B0455">
        <w:rPr>
          <w:rFonts w:eastAsia="Times New Roman"/>
        </w:rPr>
        <w:t>)</w:t>
      </w:r>
      <w:r w:rsidRPr="004B0455">
        <w:rPr>
          <w:rFonts w:eastAsia="Times New Roman"/>
        </w:rPr>
        <w:tab/>
        <w:t>complete</w:t>
      </w:r>
      <w:r>
        <w:rPr>
          <w:rFonts w:eastAsia="Times New Roman"/>
        </w:rPr>
        <w:t>s</w:t>
      </w:r>
      <w:r w:rsidRPr="004B0455">
        <w:rPr>
          <w:rFonts w:eastAsia="Times New Roman"/>
        </w:rPr>
        <w:t xml:space="preserve"> an apprenticeship </w:t>
      </w:r>
      <w:r>
        <w:rPr>
          <w:rFonts w:eastAsia="Times New Roman"/>
        </w:rPr>
        <w:t xml:space="preserve">in an occupation or profession that has a similar scope of practice, as determined by the board, to an occupation or profession regulated by this State through license requirements; </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passes requisite examinations; and</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pays all applicable fees.</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E</w:t>
      </w:r>
      <w:r w:rsidRPr="004B0455">
        <w:rPr>
          <w:rFonts w:eastAsia="Times New Roman"/>
        </w:rPr>
        <w:t>)</w:t>
      </w:r>
      <w:r w:rsidRPr="004B0455">
        <w:rPr>
          <w:rFonts w:eastAsia="Times New Roman"/>
        </w:rPr>
        <w:tab/>
      </w:r>
      <w:r>
        <w:rPr>
          <w:rFonts w:eastAsia="Times New Roman"/>
        </w:rPr>
        <w:t>A license issued pursuant to this section is subject to the same provisions of law governing a license for the occupation or profession.</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F</w:t>
      </w:r>
      <w:r w:rsidRPr="004B0455">
        <w:rPr>
          <w:rFonts w:eastAsia="Times New Roman"/>
        </w:rPr>
        <w:t>)</w:t>
      </w:r>
      <w:r w:rsidRPr="004B0455">
        <w:rPr>
          <w:rFonts w:eastAsia="Times New Roman"/>
        </w:rPr>
        <w:tab/>
      </w:r>
      <w:r>
        <w:rPr>
          <w:rFonts w:eastAsia="Times New Roman"/>
        </w:rPr>
        <w:t>A board shall not require an applicant pursuant to this section to complete an apprenticeship for a greater duration of time than that is required pursuant to federal law</w:t>
      </w:r>
      <w:r w:rsidRPr="004B0455">
        <w:rPr>
          <w:rFonts w:eastAsia="Times New Roman"/>
        </w:rPr>
        <w:t>.</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A board shall promulgate regulations necessary for the implementation of this act.</w:t>
      </w:r>
      <w:r w:rsidRPr="004B0455">
        <w:rPr>
          <w:rFonts w:eastAsia="Times New Roman"/>
        </w:rPr>
        <w:t>”</w:t>
      </w:r>
    </w:p>
    <w:p w:rsidR="00490B22"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40-1-140 of the 1976 Code, relating to the effect of prior convictions on license applications for professions and occupations, is repealed.</w:t>
      </w:r>
    </w:p>
    <w:p w:rsidR="00490B22" w:rsidRPr="004B0455" w:rsidRDefault="00490B22"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B22" w:rsidRPr="00522CE0" w:rsidRDefault="00490B22" w:rsidP="009C6D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r>
      <w:r>
        <w:rPr>
          <w:rFonts w:eastAsia="Times New Roman"/>
        </w:rPr>
        <w:t>4</w:t>
      </w:r>
      <w:r w:rsidRPr="004B0455">
        <w:rPr>
          <w:rFonts w:eastAsia="Times New Roman"/>
        </w:rPr>
        <w:t>.</w:t>
      </w:r>
      <w:r w:rsidRPr="004B0455">
        <w:rPr>
          <w:rFonts w:eastAsia="Times New Roman"/>
        </w:rPr>
        <w:tab/>
        <w:t xml:space="preserve">This act takes effect </w:t>
      </w:r>
      <w:r>
        <w:rPr>
          <w:rFonts w:eastAsia="Times New Roman"/>
        </w:rPr>
        <w:t>January 1, 2024</w:t>
      </w:r>
      <w:r w:rsidRPr="004B0455">
        <w:rPr>
          <w:rFonts w:eastAsia="Times New Roman"/>
        </w:rPr>
        <w:t>.</w:t>
      </w:r>
    </w:p>
    <w:p w:rsidR="00490B22" w:rsidRDefault="00490B2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639B" w:rsidRDefault="00EA639B" w:rsidP="0049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A639B" w:rsidSect="00DE053A">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CB" w:rsidRDefault="00EC16CB" w:rsidP="00522CE0">
      <w:r>
        <w:separator/>
      </w:r>
    </w:p>
  </w:endnote>
  <w:endnote w:type="continuationSeparator" w:id="0">
    <w:p w:rsidR="00EC16CB" w:rsidRDefault="00EC16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4F448-12B3-4A40-B3FF-FC1E129B5ABC}"/>
    <w:embedBold r:id="rId2" w:fontKey="{8EE3B1DF-552A-4964-A68B-653B61F2D339}"/>
  </w:font>
  <w:font w:name="Calibri">
    <w:panose1 w:val="020F0502020204030204"/>
    <w:charset w:val="00"/>
    <w:family w:val="swiss"/>
    <w:pitch w:val="variable"/>
    <w:sig w:usb0="E4002EFF" w:usb1="C000247B" w:usb2="00000009" w:usb3="00000000" w:csb0="000001FF" w:csb1="00000000"/>
    <w:embedRegular r:id="rId3" w:fontKey="{741D4817-F40B-4A4E-9B67-5F8DBD449B3A}"/>
    <w:embedBold r:id="rId4" w:fontKey="{94399007-24C8-4936-AAB8-679EE364793C}"/>
  </w:font>
  <w:font w:name="Segoe UI">
    <w:panose1 w:val="020B0502040204020203"/>
    <w:charset w:val="00"/>
    <w:family w:val="swiss"/>
    <w:pitch w:val="variable"/>
    <w:sig w:usb0="E4002EFF" w:usb1="C000E47F" w:usb2="00000009" w:usb3="00000000" w:csb0="000001FF" w:csb1="00000000"/>
    <w:embedRegular r:id="rId5" w:fontKey="{C220A172-B118-4CB9-9EA9-F0044376DF48}"/>
  </w:font>
  <w:font w:name="Cambria">
    <w:panose1 w:val="02040503050406030204"/>
    <w:charset w:val="00"/>
    <w:family w:val="roman"/>
    <w:pitch w:val="variable"/>
    <w:sig w:usb0="E00006FF" w:usb1="420024FF" w:usb2="02000000" w:usb3="00000000" w:csb0="0000019F" w:csb1="00000000"/>
    <w:embedRegular r:id="rId6" w:fontKey="{EC95D1D9-348F-4CED-84A2-5BC459B09C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B22" w:rsidRPr="000A40AB" w:rsidRDefault="00490B22" w:rsidP="000A40AB">
    <w:pPr>
      <w:pStyle w:val="Footer"/>
      <w:tabs>
        <w:tab w:val="clear" w:pos="4680"/>
        <w:tab w:val="clear" w:pos="9360"/>
        <w:tab w:val="center" w:pos="2995"/>
      </w:tabs>
      <w:spacing w:before="120"/>
    </w:pPr>
    <w:r>
      <w:t>[295-</w:t>
    </w:r>
    <w:r>
      <w:fldChar w:fldCharType="begin"/>
    </w:r>
    <w:r>
      <w:instrText xml:space="preserve"> PAGE  \* MERGEFORMAT </w:instrText>
    </w:r>
    <w:r>
      <w:fldChar w:fldCharType="separate"/>
    </w:r>
    <w:r w:rsidR="00BB49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490B22"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CB" w:rsidRDefault="00EC16CB" w:rsidP="00522CE0">
      <w:r>
        <w:separator/>
      </w:r>
    </w:p>
  </w:footnote>
  <w:footnote w:type="continuationSeparator" w:id="0">
    <w:p w:rsidR="00EC16CB" w:rsidRDefault="00EC16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6316D"/>
    <w:rsid w:val="00072458"/>
    <w:rsid w:val="0007601D"/>
    <w:rsid w:val="000A40AB"/>
    <w:rsid w:val="000B0720"/>
    <w:rsid w:val="000B5EAF"/>
    <w:rsid w:val="000D383E"/>
    <w:rsid w:val="001313EC"/>
    <w:rsid w:val="001315B2"/>
    <w:rsid w:val="00170561"/>
    <w:rsid w:val="00174988"/>
    <w:rsid w:val="00186AC9"/>
    <w:rsid w:val="00197DF1"/>
    <w:rsid w:val="001B2913"/>
    <w:rsid w:val="001B3DD9"/>
    <w:rsid w:val="001B7E5D"/>
    <w:rsid w:val="001D3BAC"/>
    <w:rsid w:val="001F0DD5"/>
    <w:rsid w:val="00204492"/>
    <w:rsid w:val="00216025"/>
    <w:rsid w:val="00245C4E"/>
    <w:rsid w:val="002C1321"/>
    <w:rsid w:val="002C2031"/>
    <w:rsid w:val="002C5896"/>
    <w:rsid w:val="002D3BED"/>
    <w:rsid w:val="002D4BCD"/>
    <w:rsid w:val="00307C2B"/>
    <w:rsid w:val="00315D04"/>
    <w:rsid w:val="00383247"/>
    <w:rsid w:val="003A354E"/>
    <w:rsid w:val="003D6E2B"/>
    <w:rsid w:val="003E7597"/>
    <w:rsid w:val="004036CC"/>
    <w:rsid w:val="00413EBF"/>
    <w:rsid w:val="00437AD5"/>
    <w:rsid w:val="0044020F"/>
    <w:rsid w:val="00450668"/>
    <w:rsid w:val="00454138"/>
    <w:rsid w:val="004813A2"/>
    <w:rsid w:val="00490B22"/>
    <w:rsid w:val="004952FA"/>
    <w:rsid w:val="004B6A22"/>
    <w:rsid w:val="004D7F37"/>
    <w:rsid w:val="00522CE0"/>
    <w:rsid w:val="00541951"/>
    <w:rsid w:val="00552C68"/>
    <w:rsid w:val="00565148"/>
    <w:rsid w:val="00570403"/>
    <w:rsid w:val="00577450"/>
    <w:rsid w:val="00577994"/>
    <w:rsid w:val="00593361"/>
    <w:rsid w:val="005A413B"/>
    <w:rsid w:val="005A5017"/>
    <w:rsid w:val="005A648C"/>
    <w:rsid w:val="005A6BC7"/>
    <w:rsid w:val="005F07AC"/>
    <w:rsid w:val="005F1745"/>
    <w:rsid w:val="0060111C"/>
    <w:rsid w:val="00652EAB"/>
    <w:rsid w:val="006A1802"/>
    <w:rsid w:val="006C0CBB"/>
    <w:rsid w:val="006C74EA"/>
    <w:rsid w:val="006F56CF"/>
    <w:rsid w:val="00720D40"/>
    <w:rsid w:val="007318D4"/>
    <w:rsid w:val="00765784"/>
    <w:rsid w:val="007A4390"/>
    <w:rsid w:val="007E5CB7"/>
    <w:rsid w:val="008314D2"/>
    <w:rsid w:val="00870F6F"/>
    <w:rsid w:val="008932DA"/>
    <w:rsid w:val="008A657C"/>
    <w:rsid w:val="008B2F42"/>
    <w:rsid w:val="008B6992"/>
    <w:rsid w:val="008B6DAB"/>
    <w:rsid w:val="008C3697"/>
    <w:rsid w:val="008E185F"/>
    <w:rsid w:val="008F023B"/>
    <w:rsid w:val="00904E16"/>
    <w:rsid w:val="009162B3"/>
    <w:rsid w:val="00927C62"/>
    <w:rsid w:val="00954CF2"/>
    <w:rsid w:val="00983951"/>
    <w:rsid w:val="00984124"/>
    <w:rsid w:val="00984640"/>
    <w:rsid w:val="00995C37"/>
    <w:rsid w:val="009C118A"/>
    <w:rsid w:val="00A02011"/>
    <w:rsid w:val="00A4011E"/>
    <w:rsid w:val="00A416CB"/>
    <w:rsid w:val="00A44BCC"/>
    <w:rsid w:val="00A86015"/>
    <w:rsid w:val="00A9594E"/>
    <w:rsid w:val="00AA6A0F"/>
    <w:rsid w:val="00AE59C8"/>
    <w:rsid w:val="00B10098"/>
    <w:rsid w:val="00B5790D"/>
    <w:rsid w:val="00B945C5"/>
    <w:rsid w:val="00BA20EA"/>
    <w:rsid w:val="00BB49A0"/>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35486"/>
    <w:rsid w:val="00D45CCB"/>
    <w:rsid w:val="00D53E29"/>
    <w:rsid w:val="00D86943"/>
    <w:rsid w:val="00D86FA7"/>
    <w:rsid w:val="00D95008"/>
    <w:rsid w:val="00DA3C6B"/>
    <w:rsid w:val="00DA47B9"/>
    <w:rsid w:val="00DE5635"/>
    <w:rsid w:val="00E058D3"/>
    <w:rsid w:val="00E12CA0"/>
    <w:rsid w:val="00E2236D"/>
    <w:rsid w:val="00E465B1"/>
    <w:rsid w:val="00E67AA8"/>
    <w:rsid w:val="00E76AD9"/>
    <w:rsid w:val="00E7764E"/>
    <w:rsid w:val="00E86EE2"/>
    <w:rsid w:val="00E91E2F"/>
    <w:rsid w:val="00EA3546"/>
    <w:rsid w:val="00EA639B"/>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 w:type="character" w:styleId="Hyperlink">
    <w:name w:val="Hyperlink"/>
    <w:basedOn w:val="DefaultParagraphFont"/>
    <w:uiPriority w:val="99"/>
    <w:unhideWhenUsed/>
    <w:rsid w:val="00EA6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hyperlink" Target="file:///h:\sj\20220331.docx" TargetMode="External"/><Relationship Id="rId18" Type="http://schemas.openxmlformats.org/officeDocument/2006/relationships/hyperlink" Target="http://www.scstatehouse.gov/billsearch.php?billnumbers=295&amp;session=124&amp;summary=B"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21-22\295_20220316.docx" TargetMode="External"/><Relationship Id="rId7" Type="http://schemas.openxmlformats.org/officeDocument/2006/relationships/hyperlink" Target="file:///h:\sj\20210112.docx" TargetMode="External"/><Relationship Id="rId12" Type="http://schemas.openxmlformats.org/officeDocument/2006/relationships/hyperlink" Target="file:///h:\sj\20220323.docx" TargetMode="External"/><Relationship Id="rId17" Type="http://schemas.openxmlformats.org/officeDocument/2006/relationships/hyperlink" Target="file:///h:\hj\20220405.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220405.docx" TargetMode="External"/><Relationship Id="rId20" Type="http://schemas.openxmlformats.org/officeDocument/2006/relationships/hyperlink" Target="file:///p:\pprever\2021-22\295_20220315.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323.docx" TargetMode="External"/><Relationship Id="rId24" Type="http://schemas.openxmlformats.org/officeDocument/2006/relationships/hyperlink" Target="file:///p:\pprever\2021-22\295_20220331.docx" TargetMode="External"/><Relationship Id="rId5" Type="http://schemas.openxmlformats.org/officeDocument/2006/relationships/endnotes" Target="endnotes.xml"/><Relationship Id="rId15" Type="http://schemas.openxmlformats.org/officeDocument/2006/relationships/hyperlink" Target="file:///h:\sj\20220331.docx" TargetMode="External"/><Relationship Id="rId23" Type="http://schemas.openxmlformats.org/officeDocument/2006/relationships/hyperlink" Target="file:///p:\pprever\2021-22\295_20220324.docx" TargetMode="External"/><Relationship Id="rId28" Type="http://schemas.openxmlformats.org/officeDocument/2006/relationships/theme" Target="theme/theme1.xml"/><Relationship Id="rId10" Type="http://schemas.openxmlformats.org/officeDocument/2006/relationships/hyperlink" Target="file:///h:\sj\20220323.docx" TargetMode="External"/><Relationship Id="rId19" Type="http://schemas.openxmlformats.org/officeDocument/2006/relationships/hyperlink" Target="file:///p:\pprever\2021-22\295_20201209.docx" TargetMode="External"/><Relationship Id="rId4" Type="http://schemas.openxmlformats.org/officeDocument/2006/relationships/footnotes" Target="footnotes.xml"/><Relationship Id="rId9" Type="http://schemas.openxmlformats.org/officeDocument/2006/relationships/hyperlink" Target="file:///h:\sj\20220323.docx" TargetMode="External"/><Relationship Id="rId14" Type="http://schemas.openxmlformats.org/officeDocument/2006/relationships/hyperlink" Target="file:///h:\sj\20220331.docx" TargetMode="External"/><Relationship Id="rId22" Type="http://schemas.openxmlformats.org/officeDocument/2006/relationships/hyperlink" Target="file:///p:\pprever\2021-22\295_20220323.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Subject not yet available - South Carolina Legislature Online</dc:title>
  <dc:subject/>
  <dc:creator>Sara Parrish</dc:creator>
  <cp:keywords/>
  <dc:description/>
  <cp:lastModifiedBy>S Wilson</cp:lastModifiedBy>
  <cp:revision>2</cp:revision>
  <dcterms:created xsi:type="dcterms:W3CDTF">2022-04-06T14:32:00Z</dcterms:created>
  <dcterms:modified xsi:type="dcterms:W3CDTF">2022-04-06T14:32:00Z</dcterms:modified>
</cp:coreProperties>
</file>