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C27" w:rsidRDefault="00FD5C27" w:rsidP="00FD5C27">
      <w:pPr>
        <w:widowControl w:val="0"/>
        <w:jc w:val="center"/>
      </w:pPr>
      <w:r w:rsidRPr="00FD5C27">
        <w:rPr>
          <w:b/>
        </w:rPr>
        <w:t>South Carolina General Assembly</w:t>
      </w:r>
    </w:p>
    <w:p w:rsidR="00FD5C27" w:rsidRDefault="00FD5C27" w:rsidP="00FD5C27">
      <w:pPr>
        <w:widowControl w:val="0"/>
        <w:jc w:val="center"/>
      </w:pPr>
      <w:r>
        <w:t>124th Session, 2021-2022</w:t>
      </w:r>
    </w:p>
    <w:p w:rsidR="00FD5C27" w:rsidRDefault="00FD5C27" w:rsidP="00FD5C27">
      <w:pPr>
        <w:widowControl w:val="0"/>
        <w:jc w:val="left"/>
      </w:pPr>
    </w:p>
    <w:p w:rsidR="00FD5C27" w:rsidRDefault="00FD5C27" w:rsidP="00FD5C27">
      <w:pPr>
        <w:widowControl w:val="0"/>
        <w:jc w:val="left"/>
        <w:rPr>
          <w:b/>
        </w:rPr>
      </w:pPr>
      <w:r w:rsidRPr="00FD5C27">
        <w:rPr>
          <w:b/>
        </w:rPr>
        <w:t>H. 4149</w:t>
      </w:r>
    </w:p>
    <w:p w:rsidR="00FD5C27" w:rsidRDefault="00FD5C27" w:rsidP="00FD5C27">
      <w:pPr>
        <w:widowControl w:val="0"/>
        <w:jc w:val="left"/>
        <w:rPr>
          <w:b/>
        </w:rPr>
      </w:pPr>
    </w:p>
    <w:p w:rsidR="00FD5C27" w:rsidRDefault="00FD5C27" w:rsidP="00FD5C27">
      <w:pPr>
        <w:widowControl w:val="0"/>
        <w:jc w:val="left"/>
      </w:pPr>
      <w:r w:rsidRPr="00FD5C27">
        <w:rPr>
          <w:b/>
        </w:rPr>
        <w:t>STATUS INFORMATION</w:t>
      </w:r>
    </w:p>
    <w:p w:rsidR="00FD5C27" w:rsidRDefault="00FD5C27" w:rsidP="00FD5C27">
      <w:pPr>
        <w:widowControl w:val="0"/>
        <w:jc w:val="left"/>
      </w:pPr>
    </w:p>
    <w:p w:rsidR="00FD5C27" w:rsidRDefault="00FD5C27" w:rsidP="00FD5C27">
      <w:pPr>
        <w:widowControl w:val="0"/>
        <w:jc w:val="left"/>
      </w:pPr>
      <w:r>
        <w:t>General Bill</w:t>
      </w:r>
    </w:p>
    <w:p w:rsidR="00FD5C27" w:rsidRDefault="00C36A86" w:rsidP="00FD5C27">
      <w:pPr>
        <w:widowControl w:val="0"/>
        <w:jc w:val="left"/>
      </w:pPr>
      <w:r>
        <w:t>Sponsors: Reps. Ott, Sandifer, Ballentine and Govan</w:t>
      </w:r>
    </w:p>
    <w:p w:rsidR="00FD5C27" w:rsidRDefault="00FD5C27" w:rsidP="00FD5C27">
      <w:pPr>
        <w:widowControl w:val="0"/>
        <w:jc w:val="left"/>
      </w:pPr>
      <w:r>
        <w:t>Document Path: l:\council\bills\jn\3391ph21.docx</w:t>
      </w:r>
    </w:p>
    <w:p w:rsidR="00974F59" w:rsidRDefault="00974F59" w:rsidP="00FD5C27">
      <w:pPr>
        <w:widowControl w:val="0"/>
        <w:jc w:val="left"/>
      </w:pPr>
      <w:r>
        <w:t>Companion/Similar bill(s): 344, 3683</w:t>
      </w:r>
    </w:p>
    <w:p w:rsidR="00FD5C27" w:rsidRDefault="00FD5C27" w:rsidP="00FD5C27">
      <w:pPr>
        <w:widowControl w:val="0"/>
        <w:jc w:val="left"/>
      </w:pPr>
    </w:p>
    <w:p w:rsidR="00A57847" w:rsidRDefault="00A57847" w:rsidP="00FD5C27">
      <w:pPr>
        <w:widowControl w:val="0"/>
        <w:jc w:val="left"/>
      </w:pPr>
      <w:r>
        <w:t>Introduced in the House on April 6, 2021</w:t>
      </w:r>
    </w:p>
    <w:p w:rsidR="00A57847" w:rsidRDefault="00A57847" w:rsidP="00FD5C27">
      <w:pPr>
        <w:widowControl w:val="0"/>
        <w:jc w:val="left"/>
      </w:pPr>
      <w:r>
        <w:t>Introduced in the Senate on April 29, 2021</w:t>
      </w:r>
    </w:p>
    <w:p w:rsidR="00A57847" w:rsidRPr="00A57847" w:rsidRDefault="00A57847" w:rsidP="00FD5C27">
      <w:pPr>
        <w:widowControl w:val="0"/>
        <w:jc w:val="left"/>
      </w:pPr>
      <w:r>
        <w:t xml:space="preserve">Currently residing in the Senate Committee on </w:t>
      </w:r>
      <w:r w:rsidRPr="00A57847">
        <w:rPr>
          <w:b/>
        </w:rPr>
        <w:t>Judiciary</w:t>
      </w:r>
    </w:p>
    <w:p w:rsidR="00A57847" w:rsidRDefault="00A57847" w:rsidP="00FD5C27">
      <w:pPr>
        <w:widowControl w:val="0"/>
        <w:jc w:val="left"/>
      </w:pPr>
    </w:p>
    <w:p w:rsidR="00FD5C27" w:rsidRDefault="00FD5C27" w:rsidP="00FD5C27">
      <w:pPr>
        <w:widowControl w:val="0"/>
        <w:jc w:val="left"/>
      </w:pPr>
      <w:r>
        <w:t>Summary: Public Utilities</w:t>
      </w:r>
    </w:p>
    <w:p w:rsidR="00FD5C27" w:rsidRDefault="00FD5C27" w:rsidP="00FD5C27">
      <w:pPr>
        <w:widowControl w:val="0"/>
        <w:jc w:val="left"/>
      </w:pPr>
    </w:p>
    <w:p w:rsidR="00FD5C27" w:rsidRDefault="00FD5C27" w:rsidP="00FD5C27">
      <w:pPr>
        <w:widowControl w:val="0"/>
        <w:jc w:val="left"/>
      </w:pPr>
    </w:p>
    <w:p w:rsidR="00FD5C27" w:rsidRDefault="00FD5C27" w:rsidP="00FD5C27">
      <w:pPr>
        <w:widowControl w:val="0"/>
        <w:tabs>
          <w:tab w:val="center" w:pos="590"/>
          <w:tab w:val="center" w:pos="1440"/>
          <w:tab w:val="left" w:pos="1872"/>
          <w:tab w:val="left" w:pos="9187"/>
        </w:tabs>
        <w:jc w:val="left"/>
      </w:pPr>
      <w:r w:rsidRPr="00FD5C27">
        <w:rPr>
          <w:b/>
        </w:rPr>
        <w:t>HISTORY OF LEGISLATIVE ACTIONS</w:t>
      </w:r>
    </w:p>
    <w:p w:rsidR="00FD5C27" w:rsidRDefault="00FD5C27" w:rsidP="00FD5C27">
      <w:pPr>
        <w:widowControl w:val="0"/>
        <w:tabs>
          <w:tab w:val="center" w:pos="590"/>
          <w:tab w:val="center" w:pos="1440"/>
          <w:tab w:val="left" w:pos="1872"/>
          <w:tab w:val="left" w:pos="9187"/>
        </w:tabs>
        <w:jc w:val="left"/>
      </w:pPr>
    </w:p>
    <w:p w:rsidR="00FD5C27" w:rsidRPr="00FD5C27" w:rsidRDefault="00FD5C27" w:rsidP="00FD5C27">
      <w:pPr>
        <w:widowControl w:val="0"/>
        <w:tabs>
          <w:tab w:val="center" w:pos="590"/>
          <w:tab w:val="center" w:pos="1440"/>
          <w:tab w:val="left" w:pos="1872"/>
          <w:tab w:val="left" w:pos="9187"/>
        </w:tabs>
        <w:jc w:val="left"/>
      </w:pPr>
      <w:r w:rsidRPr="00FD5C27">
        <w:rPr>
          <w:u w:val="single"/>
        </w:rPr>
        <w:tab/>
        <w:t>Date</w:t>
      </w:r>
      <w:r w:rsidRPr="00FD5C27">
        <w:rPr>
          <w:u w:val="single"/>
        </w:rPr>
        <w:tab/>
        <w:t>Body</w:t>
      </w:r>
      <w:r w:rsidRPr="00FD5C27">
        <w:rPr>
          <w:u w:val="single"/>
        </w:rPr>
        <w:tab/>
        <w:t>Action Description with journal page number</w:t>
      </w:r>
      <w:r w:rsidRPr="00FD5C27">
        <w:rPr>
          <w:u w:val="single"/>
        </w:rPr>
        <w:tab/>
      </w:r>
    </w:p>
    <w:p w:rsidR="002A651A" w:rsidRDefault="002A651A" w:rsidP="002A651A">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735031">
          <w:rPr>
            <w:rStyle w:val="Hyperlink"/>
          </w:rPr>
          <w:t>House Journal</w:t>
        </w:r>
        <w:r w:rsidRPr="00735031">
          <w:rPr>
            <w:rStyle w:val="Hyperlink"/>
          </w:rPr>
          <w:noBreakHyphen/>
          <w:t>page 113</w:t>
        </w:r>
      </w:hyperlink>
      <w:r>
        <w:t>)</w:t>
      </w:r>
    </w:p>
    <w:p w:rsidR="002A651A" w:rsidRDefault="002A651A" w:rsidP="002A651A">
      <w:pPr>
        <w:widowControl w:val="0"/>
        <w:tabs>
          <w:tab w:val="right" w:pos="1008"/>
          <w:tab w:val="left" w:pos="1152"/>
          <w:tab w:val="left" w:pos="1872"/>
          <w:tab w:val="left" w:pos="9187"/>
        </w:tabs>
        <w:ind w:left="2088" w:hanging="2088"/>
      </w:pPr>
      <w:r>
        <w:tab/>
        <w:t>4/6/2021</w:t>
      </w:r>
      <w:r>
        <w:tab/>
        <w:t>House</w:t>
      </w:r>
      <w:r>
        <w:tab/>
        <w:t xml:space="preserve">Referred to Committee on </w:t>
      </w:r>
      <w:r w:rsidRPr="00735031">
        <w:rPr>
          <w:b/>
        </w:rPr>
        <w:t>Labor, Commerce and Industry</w:t>
      </w:r>
      <w:r>
        <w:t xml:space="preserve"> (</w:t>
      </w:r>
      <w:hyperlink r:id="rId8" w:history="1">
        <w:r w:rsidRPr="00735031">
          <w:rPr>
            <w:rStyle w:val="Hyperlink"/>
          </w:rPr>
          <w:t>House Journal</w:t>
        </w:r>
        <w:r w:rsidRPr="00735031">
          <w:rPr>
            <w:rStyle w:val="Hyperlink"/>
          </w:rPr>
          <w:noBreakHyphen/>
          <w:t>page 113</w:t>
        </w:r>
      </w:hyperlink>
      <w:r>
        <w:t>)</w:t>
      </w:r>
    </w:p>
    <w:p w:rsidR="002A651A" w:rsidRDefault="002A651A" w:rsidP="002A651A">
      <w:pPr>
        <w:widowControl w:val="0"/>
        <w:tabs>
          <w:tab w:val="right" w:pos="1008"/>
          <w:tab w:val="left" w:pos="1152"/>
          <w:tab w:val="left" w:pos="1872"/>
          <w:tab w:val="left" w:pos="9187"/>
        </w:tabs>
        <w:ind w:left="2088" w:hanging="2088"/>
      </w:pPr>
      <w:r>
        <w:tab/>
        <w:t>4/22/2021</w:t>
      </w:r>
      <w:r>
        <w:tab/>
        <w:t>House</w:t>
      </w:r>
      <w:r>
        <w:tab/>
        <w:t xml:space="preserve">Committee report: Favorable </w:t>
      </w:r>
      <w:r w:rsidRPr="00735031">
        <w:rPr>
          <w:b/>
        </w:rPr>
        <w:t>Labor, Commerce and Industry</w:t>
      </w:r>
      <w:r>
        <w:t xml:space="preserve"> (</w:t>
      </w:r>
      <w:hyperlink r:id="rId9" w:history="1">
        <w:r w:rsidRPr="00735031">
          <w:rPr>
            <w:rStyle w:val="Hyperlink"/>
          </w:rPr>
          <w:t>House Journal</w:t>
        </w:r>
        <w:r w:rsidRPr="00735031">
          <w:rPr>
            <w:rStyle w:val="Hyperlink"/>
          </w:rPr>
          <w:noBreakHyphen/>
          <w:t>page 9</w:t>
        </w:r>
      </w:hyperlink>
      <w:r>
        <w:t>)</w:t>
      </w:r>
    </w:p>
    <w:p w:rsidR="002A651A" w:rsidRDefault="002A651A" w:rsidP="002A651A">
      <w:pPr>
        <w:widowControl w:val="0"/>
        <w:tabs>
          <w:tab w:val="right" w:pos="1008"/>
          <w:tab w:val="left" w:pos="1152"/>
          <w:tab w:val="left" w:pos="1872"/>
          <w:tab w:val="left" w:pos="9187"/>
        </w:tabs>
        <w:ind w:left="2088" w:hanging="2088"/>
      </w:pPr>
      <w:r>
        <w:tab/>
        <w:t>4/28/2021</w:t>
      </w:r>
      <w:r>
        <w:tab/>
        <w:t>House</w:t>
      </w:r>
      <w:r>
        <w:tab/>
        <w:t>Member(s) request name added as sponsor: Ballentine, Govan</w:t>
      </w:r>
    </w:p>
    <w:p w:rsidR="002A651A" w:rsidRDefault="002A651A" w:rsidP="002A651A">
      <w:pPr>
        <w:widowControl w:val="0"/>
        <w:tabs>
          <w:tab w:val="right" w:pos="1008"/>
          <w:tab w:val="left" w:pos="1152"/>
          <w:tab w:val="left" w:pos="1872"/>
          <w:tab w:val="left" w:pos="9187"/>
        </w:tabs>
        <w:ind w:left="2088" w:hanging="2088"/>
      </w:pPr>
      <w:r>
        <w:tab/>
        <w:t>4/28/2021</w:t>
      </w:r>
      <w:r>
        <w:tab/>
        <w:t>House</w:t>
      </w:r>
      <w:r>
        <w:tab/>
        <w:t>Read second time (</w:t>
      </w:r>
      <w:hyperlink r:id="rId10" w:history="1">
        <w:r w:rsidRPr="00735031">
          <w:rPr>
            <w:rStyle w:val="Hyperlink"/>
          </w:rPr>
          <w:t>House Journal</w:t>
        </w:r>
        <w:r w:rsidRPr="00735031">
          <w:rPr>
            <w:rStyle w:val="Hyperlink"/>
          </w:rPr>
          <w:noBreakHyphen/>
          <w:t>page 21</w:t>
        </w:r>
      </w:hyperlink>
      <w:r>
        <w:t>)</w:t>
      </w:r>
    </w:p>
    <w:p w:rsidR="002A651A" w:rsidRDefault="002A651A" w:rsidP="002A651A">
      <w:pPr>
        <w:widowControl w:val="0"/>
        <w:tabs>
          <w:tab w:val="right" w:pos="1008"/>
          <w:tab w:val="left" w:pos="1152"/>
          <w:tab w:val="left" w:pos="1872"/>
          <w:tab w:val="left" w:pos="9187"/>
        </w:tabs>
        <w:ind w:left="2088" w:hanging="2088"/>
      </w:pPr>
      <w:r>
        <w:tab/>
        <w:t>4/28/2021</w:t>
      </w:r>
      <w:r>
        <w:tab/>
        <w:t>House</w:t>
      </w:r>
      <w:r>
        <w:tab/>
        <w:t>Roll call Yeas</w:t>
      </w:r>
      <w:r>
        <w:noBreakHyphen/>
        <w:t>118  Nays</w:t>
      </w:r>
      <w:r>
        <w:noBreakHyphen/>
        <w:t>0 (</w:t>
      </w:r>
      <w:hyperlink r:id="rId11" w:history="1">
        <w:r w:rsidRPr="00735031">
          <w:rPr>
            <w:rStyle w:val="Hyperlink"/>
          </w:rPr>
          <w:t>House Journal</w:t>
        </w:r>
        <w:r w:rsidRPr="00735031">
          <w:rPr>
            <w:rStyle w:val="Hyperlink"/>
          </w:rPr>
          <w:noBreakHyphen/>
          <w:t>page 21</w:t>
        </w:r>
      </w:hyperlink>
      <w:r>
        <w:t>)</w:t>
      </w:r>
    </w:p>
    <w:p w:rsidR="002A651A" w:rsidRDefault="002A651A" w:rsidP="002A651A">
      <w:pPr>
        <w:widowControl w:val="0"/>
        <w:tabs>
          <w:tab w:val="right" w:pos="1008"/>
          <w:tab w:val="left" w:pos="1152"/>
          <w:tab w:val="left" w:pos="1872"/>
          <w:tab w:val="left" w:pos="9187"/>
        </w:tabs>
        <w:ind w:left="2088" w:hanging="2088"/>
      </w:pPr>
      <w:r>
        <w:tab/>
        <w:t>4/29/2021</w:t>
      </w:r>
      <w:r>
        <w:tab/>
        <w:t>House</w:t>
      </w:r>
      <w:r>
        <w:tab/>
        <w:t>Read third time and sent to Senate (</w:t>
      </w:r>
      <w:hyperlink r:id="rId12" w:history="1">
        <w:r w:rsidRPr="00735031">
          <w:rPr>
            <w:rStyle w:val="Hyperlink"/>
          </w:rPr>
          <w:t>House Journal</w:t>
        </w:r>
        <w:r w:rsidRPr="00735031">
          <w:rPr>
            <w:rStyle w:val="Hyperlink"/>
          </w:rPr>
          <w:noBreakHyphen/>
          <w:t>page 5</w:t>
        </w:r>
      </w:hyperlink>
      <w:r>
        <w:t>)</w:t>
      </w:r>
    </w:p>
    <w:p w:rsidR="002A651A" w:rsidRDefault="002A651A" w:rsidP="002A651A">
      <w:pPr>
        <w:widowControl w:val="0"/>
        <w:tabs>
          <w:tab w:val="right" w:pos="1008"/>
          <w:tab w:val="left" w:pos="1152"/>
          <w:tab w:val="left" w:pos="1872"/>
          <w:tab w:val="left" w:pos="9187"/>
        </w:tabs>
        <w:ind w:left="2088" w:hanging="2088"/>
      </w:pPr>
      <w:r>
        <w:tab/>
        <w:t>4/29/2021</w:t>
      </w:r>
      <w:r>
        <w:tab/>
        <w:t>Senate</w:t>
      </w:r>
      <w:r>
        <w:tab/>
        <w:t>Introduced and read first time (</w:t>
      </w:r>
      <w:hyperlink r:id="rId13" w:history="1">
        <w:r w:rsidRPr="00735031">
          <w:rPr>
            <w:rStyle w:val="Hyperlink"/>
          </w:rPr>
          <w:t>Senate Journal</w:t>
        </w:r>
        <w:r w:rsidRPr="00735031">
          <w:rPr>
            <w:rStyle w:val="Hyperlink"/>
          </w:rPr>
          <w:noBreakHyphen/>
          <w:t>page 6</w:t>
        </w:r>
      </w:hyperlink>
      <w:r>
        <w:t>)</w:t>
      </w:r>
    </w:p>
    <w:p w:rsidR="002A651A" w:rsidRDefault="002A651A" w:rsidP="002A651A">
      <w:pPr>
        <w:widowControl w:val="0"/>
        <w:tabs>
          <w:tab w:val="right" w:pos="1008"/>
          <w:tab w:val="left" w:pos="1152"/>
          <w:tab w:val="left" w:pos="1872"/>
          <w:tab w:val="left" w:pos="9187"/>
        </w:tabs>
        <w:ind w:left="2088" w:hanging="2088"/>
      </w:pPr>
      <w:r>
        <w:tab/>
        <w:t>4/29/2021</w:t>
      </w:r>
      <w:r>
        <w:tab/>
        <w:t>Senate</w:t>
      </w:r>
      <w:r>
        <w:tab/>
        <w:t xml:space="preserve">Referred to Committee on </w:t>
      </w:r>
      <w:r w:rsidRPr="00735031">
        <w:rPr>
          <w:b/>
        </w:rPr>
        <w:t>Judiciary</w:t>
      </w:r>
      <w:r>
        <w:t xml:space="preserve"> (</w:t>
      </w:r>
      <w:hyperlink r:id="rId14" w:history="1">
        <w:r w:rsidRPr="00735031">
          <w:rPr>
            <w:rStyle w:val="Hyperlink"/>
          </w:rPr>
          <w:t>Senate Journal</w:t>
        </w:r>
        <w:r w:rsidRPr="00735031">
          <w:rPr>
            <w:rStyle w:val="Hyperlink"/>
          </w:rPr>
          <w:noBreakHyphen/>
          <w:t>page 6</w:t>
        </w:r>
      </w:hyperlink>
      <w:r>
        <w:t>)</w:t>
      </w:r>
    </w:p>
    <w:p w:rsidR="002A651A" w:rsidRDefault="002A651A" w:rsidP="002A651A">
      <w:pPr>
        <w:widowControl w:val="0"/>
        <w:tabs>
          <w:tab w:val="right" w:pos="1008"/>
          <w:tab w:val="left" w:pos="1152"/>
          <w:tab w:val="left" w:pos="1872"/>
          <w:tab w:val="left" w:pos="9187"/>
        </w:tabs>
        <w:ind w:left="2088" w:hanging="2088"/>
      </w:pPr>
    </w:p>
    <w:p w:rsidR="00FD5C27" w:rsidRDefault="00FD5C27" w:rsidP="00FD5C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FD5C27">
          <w:rPr>
            <w:rStyle w:val="Hyperlink"/>
          </w:rPr>
          <w:t>legislative information</w:t>
        </w:r>
      </w:hyperlink>
      <w:r>
        <w:t xml:space="preserve"> at the website</w:t>
      </w:r>
    </w:p>
    <w:p w:rsidR="00FD5C27" w:rsidRDefault="00FD5C27" w:rsidP="00FD5C27">
      <w:pPr>
        <w:widowControl w:val="0"/>
        <w:tabs>
          <w:tab w:val="right" w:pos="1008"/>
          <w:tab w:val="left" w:pos="1152"/>
          <w:tab w:val="left" w:pos="1872"/>
          <w:tab w:val="left" w:pos="9187"/>
        </w:tabs>
        <w:ind w:left="2088" w:hanging="2088"/>
        <w:jc w:val="left"/>
      </w:pPr>
    </w:p>
    <w:p w:rsidR="00FD5C27" w:rsidRPr="00FD5C27" w:rsidRDefault="00FD5C27" w:rsidP="00FD5C27">
      <w:pPr>
        <w:widowControl w:val="0"/>
        <w:tabs>
          <w:tab w:val="right" w:pos="1008"/>
          <w:tab w:val="left" w:pos="1152"/>
          <w:tab w:val="left" w:pos="1872"/>
          <w:tab w:val="left" w:pos="9187"/>
        </w:tabs>
        <w:ind w:left="2088" w:hanging="2088"/>
        <w:jc w:val="left"/>
      </w:pPr>
    </w:p>
    <w:p w:rsidR="00FD5C27" w:rsidRDefault="00FD5C27" w:rsidP="00FD5C27">
      <w:pPr>
        <w:widowControl w:val="0"/>
        <w:jc w:val="left"/>
      </w:pPr>
      <w:r w:rsidRPr="00FD5C27">
        <w:rPr>
          <w:b/>
        </w:rPr>
        <w:t>VERSIONS OF THIS BILL</w:t>
      </w:r>
    </w:p>
    <w:p w:rsidR="00FD5C27" w:rsidRDefault="00FD5C27" w:rsidP="00FD5C27">
      <w:pPr>
        <w:widowControl w:val="0"/>
        <w:jc w:val="left"/>
      </w:pPr>
    </w:p>
    <w:p w:rsidR="00FD5C27" w:rsidRDefault="00525FDB" w:rsidP="00FD5C27">
      <w:pPr>
        <w:widowControl w:val="0"/>
        <w:jc w:val="left"/>
      </w:pPr>
      <w:hyperlink r:id="rId16" w:history="1">
        <w:r w:rsidR="00FD5C27">
          <w:rPr>
            <w:rStyle w:val="Hyperlink"/>
          </w:rPr>
          <w:t>4/6/2021</w:t>
        </w:r>
      </w:hyperlink>
    </w:p>
    <w:p w:rsidR="00FD5C27" w:rsidRDefault="00525FDB" w:rsidP="00FD5C27">
      <w:hyperlink r:id="rId17" w:history="1">
        <w:r w:rsidR="00970018" w:rsidRPr="00970018">
          <w:rPr>
            <w:rStyle w:val="Hyperlink"/>
          </w:rPr>
          <w:t>4/22/2021</w:t>
        </w:r>
      </w:hyperlink>
    </w:p>
    <w:p w:rsidR="00970018" w:rsidRDefault="00970018" w:rsidP="00FD5C27"/>
    <w:p w:rsidR="00FD5C27" w:rsidRDefault="00FD5C27" w:rsidP="00FD5C27">
      <w:pPr>
        <w:sectPr w:rsidR="00FD5C27" w:rsidSect="00FD5C27">
          <w:pgSz w:w="12240" w:h="15840" w:code="1"/>
          <w:pgMar w:top="1080" w:right="1440" w:bottom="1080" w:left="1440" w:header="720" w:footer="720" w:gutter="0"/>
          <w:cols w:space="720"/>
          <w:noEndnote/>
          <w:docGrid w:linePitch="360"/>
        </w:sectPr>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Pr="00590C89" w:rsidRDefault="00970018" w:rsidP="00590C89">
      <w:pPr>
        <w:tabs>
          <w:tab w:val="right" w:pos="5933"/>
        </w:tabs>
        <w:suppressAutoHyphens/>
      </w:pPr>
      <w:r>
        <w:tab/>
      </w:r>
      <w:r>
        <w:rPr>
          <w:b/>
          <w:sz w:val="36"/>
        </w:rPr>
        <w:t>H. 4149</w:t>
      </w: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67D0F">
        <w:t>Reps. Ott and Sandifer</w:t>
      </w: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970018" w:rsidRPr="00590C89" w:rsidRDefault="00970018"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70018" w:rsidRPr="00590C89" w:rsidRDefault="00970018"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4149) </w:t>
      </w:r>
      <w:r w:rsidRPr="00590C89">
        <w:rPr>
          <w:color w:val="000000" w:themeColor="text1"/>
          <w:u w:color="000000" w:themeColor="text1"/>
        </w:rPr>
        <w:t>to amend the Code of Laws of South Carolina, 1976, by adding Section 8</w:t>
      </w:r>
      <w:r w:rsidRPr="00590C89">
        <w:rPr>
          <w:color w:val="000000" w:themeColor="text1"/>
          <w:u w:color="000000" w:themeColor="text1"/>
        </w:rPr>
        <w:noBreakHyphen/>
        <w:t>27</w:t>
      </w:r>
      <w:r w:rsidRPr="00590C89">
        <w:rPr>
          <w:color w:val="000000" w:themeColor="text1"/>
          <w:u w:color="000000" w:themeColor="text1"/>
        </w:rPr>
        <w:noBreakHyphen/>
        <w:t>70 so as to provide definitions; by adding Section 8</w:t>
      </w:r>
      <w:r w:rsidRPr="00590C89">
        <w:rPr>
          <w:color w:val="000000" w:themeColor="text1"/>
          <w:u w:color="000000" w:themeColor="text1"/>
        </w:rPr>
        <w:noBreakHyphen/>
        <w:t>27</w:t>
      </w:r>
      <w:r w:rsidRPr="00590C89">
        <w:rPr>
          <w:color w:val="000000" w:themeColor="text1"/>
          <w:u w:color="000000" w:themeColor="text1"/>
        </w:rPr>
        <w:noBreakHyphen/>
      </w:r>
      <w:r>
        <w:t>, etc., respectfully</w:t>
      </w:r>
    </w:p>
    <w:p w:rsidR="00970018" w:rsidRPr="00590C89" w:rsidRDefault="00970018"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970018" w:rsidRPr="00590C89" w:rsidRDefault="00970018"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0018" w:rsidSect="00590C8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Pr="00325348" w:rsidRDefault="00970018" w:rsidP="00B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70018" w:rsidRDefault="009700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TO AMEND THE</w:t>
      </w:r>
      <w:r w:rsidRPr="00F518A6">
        <w:rPr>
          <w:color w:val="000000" w:themeColor="text1"/>
          <w:u w:color="000000" w:themeColor="text1"/>
        </w:rPr>
        <w:t xml:space="preserve"> CODE OF LAWS</w:t>
      </w:r>
      <w:r>
        <w:rPr>
          <w:color w:val="000000" w:themeColor="text1"/>
          <w:u w:color="000000" w:themeColor="text1"/>
        </w:rPr>
        <w:t xml:space="preserve"> OF </w:t>
      </w:r>
      <w:r w:rsidRPr="00F518A6">
        <w:rPr>
          <w:color w:val="000000" w:themeColor="text1"/>
          <w:u w:color="000000" w:themeColor="text1"/>
        </w:rPr>
        <w:t>SOUTH CAROLINA, 1976, BY ADDING SECTION 8</w:t>
      </w:r>
      <w:r>
        <w:rPr>
          <w:color w:val="000000" w:themeColor="text1"/>
          <w:u w:color="000000" w:themeColor="text1"/>
        </w:rPr>
        <w:noBreakHyphen/>
      </w:r>
      <w:r w:rsidRPr="00F518A6">
        <w:rPr>
          <w:color w:val="000000" w:themeColor="text1"/>
          <w:u w:color="000000" w:themeColor="text1"/>
        </w:rPr>
        <w:t>27</w:t>
      </w:r>
      <w:r>
        <w:rPr>
          <w:color w:val="000000" w:themeColor="text1"/>
          <w:u w:color="000000" w:themeColor="text1"/>
        </w:rPr>
        <w:noBreakHyphen/>
      </w:r>
      <w:r w:rsidRPr="00F518A6">
        <w:rPr>
          <w:color w:val="000000" w:themeColor="text1"/>
          <w:u w:color="000000" w:themeColor="text1"/>
        </w:rPr>
        <w:t>70 SO AS TO PROVIDE DEFINITIONS; BY ADDING SECTION 8</w:t>
      </w:r>
      <w:r>
        <w:rPr>
          <w:color w:val="000000" w:themeColor="text1"/>
          <w:u w:color="000000" w:themeColor="text1"/>
        </w:rPr>
        <w:noBreakHyphen/>
      </w:r>
      <w:r w:rsidRPr="00F518A6">
        <w:rPr>
          <w:color w:val="000000" w:themeColor="text1"/>
          <w:u w:color="000000" w:themeColor="text1"/>
        </w:rPr>
        <w:t>27</w:t>
      </w:r>
      <w:r>
        <w:rPr>
          <w:color w:val="000000" w:themeColor="text1"/>
          <w:u w:color="000000" w:themeColor="text1"/>
        </w:rPr>
        <w:noBreakHyphen/>
      </w:r>
      <w:r w:rsidRPr="00F518A6">
        <w:rPr>
          <w:color w:val="000000" w:themeColor="text1"/>
          <w:u w:color="000000" w:themeColor="text1"/>
        </w:rPr>
        <w:t xml:space="preserve">80 SO AS TO PROHIBIT A PUBLIC UTILITY FROM TAKING </w:t>
      </w:r>
      <w:r>
        <w:rPr>
          <w:color w:val="000000" w:themeColor="text1"/>
          <w:u w:color="000000" w:themeColor="text1"/>
        </w:rPr>
        <w:t xml:space="preserve">ADVERSE </w:t>
      </w:r>
      <w:r w:rsidRPr="00F518A6">
        <w:rPr>
          <w:color w:val="000000" w:themeColor="text1"/>
          <w:u w:color="000000" w:themeColor="text1"/>
        </w:rPr>
        <w:t>EMPLOYMENT ACTION AGAINST AN EMPLOYEE WHO MADE A REPORT OF WRONGDOING BY THE PUBLIC UTILITY TO THE OFFICE OF REGULATORY STAFF; AND BY ADDING SECTION 8</w:t>
      </w:r>
      <w:r>
        <w:rPr>
          <w:color w:val="000000" w:themeColor="text1"/>
          <w:u w:color="000000" w:themeColor="text1"/>
        </w:rPr>
        <w:noBreakHyphen/>
      </w:r>
      <w:r w:rsidRPr="00F518A6">
        <w:rPr>
          <w:color w:val="000000" w:themeColor="text1"/>
          <w:u w:color="000000" w:themeColor="text1"/>
        </w:rPr>
        <w:t>27</w:t>
      </w:r>
      <w:r>
        <w:rPr>
          <w:color w:val="000000" w:themeColor="text1"/>
          <w:u w:color="000000" w:themeColor="text1"/>
        </w:rPr>
        <w:noBreakHyphen/>
      </w:r>
      <w:r w:rsidRPr="00F518A6">
        <w:rPr>
          <w:color w:val="000000" w:themeColor="text1"/>
          <w:u w:color="000000" w:themeColor="text1"/>
        </w:rPr>
        <w:t xml:space="preserve">90 SO AS TO PROVIDE </w:t>
      </w:r>
      <w:r>
        <w:rPr>
          <w:color w:val="000000" w:themeColor="text1"/>
          <w:u w:color="000000" w:themeColor="text1"/>
        </w:rPr>
        <w:t>REMEDIES</w:t>
      </w:r>
      <w:r w:rsidRPr="00F518A6">
        <w:rPr>
          <w:color w:val="000000" w:themeColor="text1"/>
          <w:u w:color="000000" w:themeColor="text1"/>
        </w:rPr>
        <w:t xml:space="preserve"> IF A PUBLIC UTILITY TAKES </w:t>
      </w:r>
      <w:r>
        <w:rPr>
          <w:color w:val="000000" w:themeColor="text1"/>
          <w:u w:color="000000" w:themeColor="text1"/>
        </w:rPr>
        <w:t xml:space="preserve">ADVERSE </w:t>
      </w:r>
      <w:r w:rsidRPr="00F518A6">
        <w:rPr>
          <w:color w:val="000000" w:themeColor="text1"/>
          <w:u w:color="000000" w:themeColor="text1"/>
        </w:rPr>
        <w:t>EMPLOYMENT ACTION AGAINST AN EMPLOYEE WHO MADE A REPORT OF WRONGDOING.</w:t>
      </w:r>
      <w:bookmarkStart w:id="4" w:name="titleend"/>
      <w:bookmarkEnd w:id="4"/>
    </w:p>
    <w:p w:rsidR="00970018" w:rsidRDefault="00970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0018" w:rsidRDefault="00970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518A6">
        <w:rPr>
          <w:color w:val="000000" w:themeColor="text1"/>
          <w:u w:color="000000" w:themeColor="text1"/>
        </w:rPr>
        <w:t xml:space="preserve">Chapter 27, Title 8 of the 1976 Code is amended by adding: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“Section 8</w:t>
      </w:r>
      <w:r>
        <w:rPr>
          <w:color w:val="000000" w:themeColor="text1"/>
          <w:u w:color="000000" w:themeColor="text1"/>
        </w:rPr>
        <w:noBreakHyphen/>
      </w:r>
      <w:r w:rsidRPr="00F518A6">
        <w:rPr>
          <w:color w:val="000000" w:themeColor="text1"/>
          <w:u w:color="000000" w:themeColor="text1"/>
        </w:rPr>
        <w:t>27</w:t>
      </w:r>
      <w:r>
        <w:rPr>
          <w:color w:val="000000" w:themeColor="text1"/>
          <w:u w:color="000000" w:themeColor="text1"/>
        </w:rPr>
        <w:noBreakHyphen/>
      </w:r>
      <w:r w:rsidRPr="00F518A6">
        <w:rPr>
          <w:color w:val="000000" w:themeColor="text1"/>
          <w:u w:color="000000" w:themeColor="text1"/>
        </w:rPr>
        <w:t>70.</w:t>
      </w:r>
      <w:r>
        <w:rPr>
          <w:color w:val="000000" w:themeColor="text1"/>
          <w:u w:color="000000" w:themeColor="text1"/>
        </w:rPr>
        <w:tab/>
      </w:r>
      <w:r w:rsidRPr="00F518A6">
        <w:rPr>
          <w:color w:val="000000" w:themeColor="text1"/>
          <w:u w:color="000000" w:themeColor="text1"/>
        </w:rPr>
        <w:t>For purposes of Sections 8</w:t>
      </w:r>
      <w:r>
        <w:rPr>
          <w:color w:val="000000" w:themeColor="text1"/>
          <w:u w:color="000000" w:themeColor="text1"/>
        </w:rPr>
        <w:noBreakHyphen/>
      </w:r>
      <w:r w:rsidRPr="00F518A6">
        <w:rPr>
          <w:color w:val="000000" w:themeColor="text1"/>
          <w:u w:color="000000" w:themeColor="text1"/>
        </w:rPr>
        <w:t>27</w:t>
      </w:r>
      <w:r>
        <w:rPr>
          <w:color w:val="000000" w:themeColor="text1"/>
          <w:u w:color="000000" w:themeColor="text1"/>
        </w:rPr>
        <w:noBreakHyphen/>
      </w:r>
      <w:r w:rsidRPr="00F518A6">
        <w:rPr>
          <w:color w:val="000000" w:themeColor="text1"/>
          <w:u w:color="000000" w:themeColor="text1"/>
        </w:rPr>
        <w:t>80 and 8</w:t>
      </w:r>
      <w:r>
        <w:rPr>
          <w:color w:val="000000" w:themeColor="text1"/>
          <w:u w:color="000000" w:themeColor="text1"/>
        </w:rPr>
        <w:noBreakHyphen/>
      </w:r>
      <w:r w:rsidRPr="00F518A6">
        <w:rPr>
          <w:color w:val="000000" w:themeColor="text1"/>
          <w:u w:color="000000" w:themeColor="text1"/>
        </w:rPr>
        <w:t>27</w:t>
      </w:r>
      <w:r>
        <w:rPr>
          <w:color w:val="000000" w:themeColor="text1"/>
          <w:u w:color="000000" w:themeColor="text1"/>
        </w:rPr>
        <w:noBreakHyphen/>
      </w:r>
      <w:r w:rsidRPr="00F518A6">
        <w:rPr>
          <w:color w:val="000000" w:themeColor="text1"/>
          <w:u w:color="000000" w:themeColor="text1"/>
        </w:rPr>
        <w:t xml:space="preserve">90: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(1)</w:t>
      </w:r>
      <w:r>
        <w:rPr>
          <w:color w:val="000000" w:themeColor="text1"/>
          <w:u w:color="000000" w:themeColor="text1"/>
        </w:rPr>
        <w:tab/>
        <w:t>‘</w:t>
      </w:r>
      <w:r w:rsidRPr="00F518A6">
        <w:rPr>
          <w:color w:val="000000" w:themeColor="text1"/>
          <w:u w:color="000000" w:themeColor="text1"/>
        </w:rPr>
        <w:t>Public utility</w:t>
      </w:r>
      <w:r>
        <w:rPr>
          <w:color w:val="000000" w:themeColor="text1"/>
          <w:u w:color="000000" w:themeColor="text1"/>
        </w:rPr>
        <w:t>’</w:t>
      </w:r>
      <w:r w:rsidRPr="00F518A6">
        <w:rPr>
          <w:color w:val="000000" w:themeColor="text1"/>
          <w:u w:color="000000" w:themeColor="text1"/>
        </w:rPr>
        <w:t xml:space="preserve"> means public utility as defined in Sections 58</w:t>
      </w:r>
      <w:r>
        <w:rPr>
          <w:color w:val="000000" w:themeColor="text1"/>
          <w:u w:color="000000" w:themeColor="text1"/>
        </w:rPr>
        <w:noBreakHyphen/>
      </w:r>
      <w:r w:rsidRPr="00F518A6">
        <w:rPr>
          <w:color w:val="000000" w:themeColor="text1"/>
          <w:u w:color="000000" w:themeColor="text1"/>
        </w:rPr>
        <w:t>3</w:t>
      </w:r>
      <w:r>
        <w:rPr>
          <w:color w:val="000000" w:themeColor="text1"/>
          <w:u w:color="000000" w:themeColor="text1"/>
        </w:rPr>
        <w:noBreakHyphen/>
      </w:r>
      <w:r w:rsidRPr="00F518A6">
        <w:rPr>
          <w:color w:val="000000" w:themeColor="text1"/>
          <w:u w:color="000000" w:themeColor="text1"/>
        </w:rPr>
        <w:t>5(6) and 58</w:t>
      </w:r>
      <w:r>
        <w:rPr>
          <w:color w:val="000000" w:themeColor="text1"/>
          <w:u w:color="000000" w:themeColor="text1"/>
        </w:rPr>
        <w:noBreakHyphen/>
      </w:r>
      <w:r w:rsidRPr="00F518A6">
        <w:rPr>
          <w:color w:val="000000" w:themeColor="text1"/>
          <w:u w:color="000000" w:themeColor="text1"/>
        </w:rPr>
        <w:t>33</w:t>
      </w:r>
      <w:r>
        <w:rPr>
          <w:color w:val="000000" w:themeColor="text1"/>
          <w:u w:color="000000" w:themeColor="text1"/>
        </w:rPr>
        <w:noBreakHyphen/>
      </w:r>
      <w:r w:rsidRPr="00F518A6">
        <w:rPr>
          <w:color w:val="000000" w:themeColor="text1"/>
          <w:u w:color="000000" w:themeColor="text1"/>
        </w:rPr>
        <w:t xml:space="preserve">20(6), the South Carolina Public Service Authority, and electric cooperatives.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(2)</w:t>
      </w:r>
      <w:r>
        <w:rPr>
          <w:color w:val="000000" w:themeColor="text1"/>
          <w:u w:color="000000" w:themeColor="text1"/>
        </w:rPr>
        <w:tab/>
        <w:t>‘</w:t>
      </w:r>
      <w:r w:rsidRPr="00F518A6">
        <w:rPr>
          <w:color w:val="000000" w:themeColor="text1"/>
          <w:u w:color="000000" w:themeColor="text1"/>
        </w:rPr>
        <w:t>Employee</w:t>
      </w:r>
      <w:r>
        <w:rPr>
          <w:color w:val="000000" w:themeColor="text1"/>
          <w:u w:color="000000" w:themeColor="text1"/>
        </w:rPr>
        <w:t>’</w:t>
      </w:r>
      <w:r w:rsidRPr="00F518A6">
        <w:rPr>
          <w:color w:val="000000" w:themeColor="text1"/>
          <w:u w:color="000000" w:themeColor="text1"/>
        </w:rPr>
        <w:t xml:space="preserve"> means an employee of a public utility.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(3)</w:t>
      </w:r>
      <w:r>
        <w:rPr>
          <w:color w:val="000000" w:themeColor="text1"/>
          <w:u w:color="000000" w:themeColor="text1"/>
        </w:rPr>
        <w:tab/>
        <w:t>‘</w:t>
      </w:r>
      <w:r w:rsidRPr="00F518A6">
        <w:rPr>
          <w:color w:val="000000" w:themeColor="text1"/>
          <w:u w:color="000000" w:themeColor="text1"/>
        </w:rPr>
        <w:t>Report</w:t>
      </w:r>
      <w:r>
        <w:rPr>
          <w:color w:val="000000" w:themeColor="text1"/>
          <w:u w:color="000000" w:themeColor="text1"/>
        </w:rPr>
        <w:t>’</w:t>
      </w:r>
      <w:r w:rsidRPr="00F518A6">
        <w:rPr>
          <w:color w:val="000000" w:themeColor="text1"/>
          <w:u w:color="000000" w:themeColor="text1"/>
        </w:rPr>
        <w:t xml:space="preserve"> means: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(a)</w:t>
      </w:r>
      <w:r>
        <w:rPr>
          <w:color w:val="000000" w:themeColor="text1"/>
          <w:u w:color="000000" w:themeColor="text1"/>
        </w:rPr>
        <w:tab/>
      </w:r>
      <w:r w:rsidRPr="00F518A6">
        <w:rPr>
          <w:color w:val="000000" w:themeColor="text1"/>
          <w:u w:color="000000" w:themeColor="text1"/>
        </w:rPr>
        <w:t xml:space="preserve">a written or oral allegation made to the Office of Regulatory Staff of waste or wrongdoing that contains the following information: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F518A6">
        <w:rPr>
          <w:color w:val="000000" w:themeColor="text1"/>
          <w:u w:color="000000" w:themeColor="text1"/>
        </w:rPr>
        <w:t xml:space="preserve">the date of disclosure;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518A6">
        <w:rPr>
          <w:color w:val="000000" w:themeColor="text1"/>
          <w:u w:color="000000" w:themeColor="text1"/>
        </w:rPr>
        <w:t xml:space="preserve">the name of the employee making the report; and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(iii)</w:t>
      </w:r>
      <w:r>
        <w:rPr>
          <w:color w:val="000000" w:themeColor="text1"/>
          <w:u w:color="000000" w:themeColor="text1"/>
        </w:rPr>
        <w:tab/>
      </w:r>
      <w:r w:rsidRPr="00F518A6">
        <w:rPr>
          <w:color w:val="000000" w:themeColor="text1"/>
          <w:u w:color="000000" w:themeColor="text1"/>
        </w:rPr>
        <w:t xml:space="preserve">the nature of the wrongdoing and the date or range of dates on which the wrongdoing allegedly occurred. A report must be made within one hundred eighty days of the date the reporting employee first learns of the alleged wrongdoing; or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(b)</w:t>
      </w:r>
      <w:r>
        <w:rPr>
          <w:color w:val="000000" w:themeColor="text1"/>
          <w:u w:color="000000" w:themeColor="text1"/>
        </w:rPr>
        <w:tab/>
      </w:r>
      <w:r w:rsidRPr="00F518A6">
        <w:rPr>
          <w:color w:val="000000" w:themeColor="text1"/>
          <w:u w:color="000000" w:themeColor="text1"/>
        </w:rPr>
        <w:t xml:space="preserve">sworn testimony regarding wrongdoing, regardless of when the wrongdoing allegedly occurred, given to any standing committee, subcommittee of a standing committee, oversight committee, oversight subcommittee, or study committee of the Senate or the House of Representatives.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(c)</w:t>
      </w:r>
      <w:r>
        <w:rPr>
          <w:color w:val="000000" w:themeColor="text1"/>
          <w:u w:color="000000" w:themeColor="text1"/>
        </w:rPr>
        <w:tab/>
      </w:r>
      <w:r w:rsidRPr="00F518A6">
        <w:rPr>
          <w:color w:val="000000" w:themeColor="text1"/>
          <w:u w:color="000000" w:themeColor="text1"/>
        </w:rPr>
        <w:t xml:space="preserve">If a report is made to the Office of Regulatory Staff, the employing public utility must be notified as soon as practicable by the Office of Regulatory Staff.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(5)</w:t>
      </w:r>
      <w:r>
        <w:rPr>
          <w:color w:val="000000" w:themeColor="text1"/>
          <w:u w:color="000000" w:themeColor="text1"/>
        </w:rPr>
        <w:tab/>
        <w:t>‘</w:t>
      </w:r>
      <w:r w:rsidRPr="00F518A6">
        <w:rPr>
          <w:color w:val="000000" w:themeColor="text1"/>
          <w:u w:color="000000" w:themeColor="text1"/>
        </w:rPr>
        <w:t>Wrongdoing</w:t>
      </w:r>
      <w:r>
        <w:rPr>
          <w:color w:val="000000" w:themeColor="text1"/>
          <w:u w:color="000000" w:themeColor="text1"/>
        </w:rPr>
        <w:t>’</w:t>
      </w:r>
      <w:r w:rsidRPr="00F518A6">
        <w:rPr>
          <w:color w:val="000000" w:themeColor="text1"/>
          <w:u w:color="000000" w:themeColor="text1"/>
        </w:rPr>
        <w:t xml:space="preserve"> means action by a public utility which results in substantial abuse, misuse, destruction, or loss of substantial public utility funds or public utility resources. </w:t>
      </w:r>
      <w:r>
        <w:rPr>
          <w:color w:val="000000" w:themeColor="text1"/>
          <w:u w:color="000000" w:themeColor="text1"/>
        </w:rPr>
        <w:t>‘</w:t>
      </w:r>
      <w:r w:rsidRPr="00F518A6">
        <w:rPr>
          <w:color w:val="000000" w:themeColor="text1"/>
          <w:u w:color="000000" w:themeColor="text1"/>
        </w:rPr>
        <w:t>Wrongdoing</w:t>
      </w:r>
      <w:r>
        <w:rPr>
          <w:color w:val="000000" w:themeColor="text1"/>
          <w:u w:color="000000" w:themeColor="text1"/>
        </w:rPr>
        <w:t>’</w:t>
      </w:r>
      <w:r w:rsidRPr="00F518A6">
        <w:rPr>
          <w:color w:val="000000" w:themeColor="text1"/>
          <w:u w:color="000000" w:themeColor="text1"/>
        </w:rPr>
        <w:t xml:space="preserve"> also includes an allegation that a public utility has intentionally violated federal or state statutory law or regulations or other political subdivision ordinances or regulations or a code of ethics, which violation is not merely technical or of a minimum nature.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Section 8</w:t>
      </w:r>
      <w:r>
        <w:rPr>
          <w:color w:val="000000" w:themeColor="text1"/>
          <w:u w:color="000000" w:themeColor="text1"/>
        </w:rPr>
        <w:noBreakHyphen/>
      </w:r>
      <w:r w:rsidRPr="00F518A6">
        <w:rPr>
          <w:color w:val="000000" w:themeColor="text1"/>
          <w:u w:color="000000" w:themeColor="text1"/>
        </w:rPr>
        <w:t>27</w:t>
      </w:r>
      <w:r>
        <w:rPr>
          <w:color w:val="000000" w:themeColor="text1"/>
          <w:u w:color="000000" w:themeColor="text1"/>
        </w:rPr>
        <w:noBreakHyphen/>
      </w:r>
      <w:r w:rsidRPr="00F518A6">
        <w:rPr>
          <w:color w:val="000000" w:themeColor="text1"/>
          <w:u w:color="000000" w:themeColor="text1"/>
        </w:rPr>
        <w:t>80.</w:t>
      </w:r>
      <w:r>
        <w:rPr>
          <w:color w:val="000000" w:themeColor="text1"/>
          <w:u w:color="000000" w:themeColor="text1"/>
        </w:rPr>
        <w:tab/>
      </w:r>
      <w:r w:rsidRPr="00F518A6">
        <w:rPr>
          <w:color w:val="000000" w:themeColor="text1"/>
          <w:u w:color="000000" w:themeColor="text1"/>
        </w:rPr>
        <w:t>(A)</w:t>
      </w:r>
      <w:r>
        <w:rPr>
          <w:color w:val="000000" w:themeColor="text1"/>
          <w:u w:color="000000" w:themeColor="text1"/>
        </w:rPr>
        <w:tab/>
      </w:r>
      <w:r w:rsidRPr="00F518A6">
        <w:rPr>
          <w:color w:val="000000" w:themeColor="text1"/>
          <w:u w:color="000000" w:themeColor="text1"/>
        </w:rPr>
        <w:t>A public utility may not dismiss, suspend from employment, demote, or decrease the compensation of an employee of a public utility because the employee files a report of wrongdoing</w:t>
      </w:r>
      <w:r>
        <w:rPr>
          <w:color w:val="000000" w:themeColor="text1"/>
          <w:u w:color="000000" w:themeColor="text1"/>
        </w:rPr>
        <w:t xml:space="preserve"> </w:t>
      </w:r>
      <w:r w:rsidRPr="00F518A6">
        <w:rPr>
          <w:color w:val="000000" w:themeColor="text1"/>
          <w:u w:color="000000" w:themeColor="text1"/>
        </w:rPr>
        <w:t>with</w:t>
      </w:r>
      <w:r>
        <w:rPr>
          <w:color w:val="000000" w:themeColor="text1"/>
          <w:u w:color="000000" w:themeColor="text1"/>
        </w:rPr>
        <w:t xml:space="preserve"> the Office of Regulatory Staff</w:t>
      </w:r>
      <w:r w:rsidRPr="00F518A6">
        <w:rPr>
          <w:color w:val="000000" w:themeColor="text1"/>
          <w:u w:color="000000" w:themeColor="text1"/>
        </w:rPr>
        <w:t>. If the Office of Regulatory Staff determines the employee</w:t>
      </w:r>
      <w:r>
        <w:rPr>
          <w:color w:val="000000" w:themeColor="text1"/>
          <w:u w:color="000000" w:themeColor="text1"/>
        </w:rPr>
        <w:t>’</w:t>
      </w:r>
      <w:r w:rsidRPr="00F518A6">
        <w:rPr>
          <w:color w:val="000000" w:themeColor="text1"/>
          <w:u w:color="000000" w:themeColor="text1"/>
        </w:rPr>
        <w:t xml:space="preserve">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518A6">
        <w:rPr>
          <w:color w:val="000000" w:themeColor="text1"/>
          <w:u w:color="000000" w:themeColor="text1"/>
        </w:rPr>
        <w:t xml:space="preserve">Notwithstanding the filing of a report pursuant to this chapter, a public utility may dismiss, suspend, demote, or decrease the compensation of an employee for causes independent of the filing of a protected report as described in this section.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Section 8</w:t>
      </w:r>
      <w:r>
        <w:rPr>
          <w:color w:val="000000" w:themeColor="text1"/>
          <w:u w:color="000000" w:themeColor="text1"/>
        </w:rPr>
        <w:noBreakHyphen/>
      </w:r>
      <w:r w:rsidRPr="00F518A6">
        <w:rPr>
          <w:color w:val="000000" w:themeColor="text1"/>
          <w:u w:color="000000" w:themeColor="text1"/>
        </w:rPr>
        <w:t>27</w:t>
      </w:r>
      <w:r>
        <w:rPr>
          <w:color w:val="000000" w:themeColor="text1"/>
          <w:u w:color="000000" w:themeColor="text1"/>
        </w:rPr>
        <w:noBreakHyphen/>
      </w:r>
      <w:r w:rsidRPr="00F518A6">
        <w:rPr>
          <w:color w:val="000000" w:themeColor="text1"/>
          <w:u w:color="000000" w:themeColor="text1"/>
        </w:rPr>
        <w:t>90.</w:t>
      </w:r>
      <w:r>
        <w:rPr>
          <w:color w:val="000000" w:themeColor="text1"/>
          <w:u w:color="000000" w:themeColor="text1"/>
        </w:rPr>
        <w:tab/>
        <w:t>(A)</w:t>
      </w:r>
      <w:r>
        <w:rPr>
          <w:color w:val="000000" w:themeColor="text1"/>
          <w:u w:color="000000" w:themeColor="text1"/>
        </w:rPr>
        <w:tab/>
      </w:r>
      <w:r w:rsidRPr="00F518A6">
        <w:rPr>
          <w:color w:val="000000" w:themeColor="text1"/>
          <w:u w:color="000000" w:themeColor="text1"/>
        </w:rPr>
        <w:t xml:space="preserve">If an employee is dismissed, suspended from employment, demoted, or receives a decrease in compensation, within one year after having timely reported an alleged wrongdoing under this chapter, the employee may institute a nonjury civil action against the employing public utility for: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518A6">
        <w:rPr>
          <w:color w:val="000000" w:themeColor="text1"/>
          <w:u w:color="000000" w:themeColor="text1"/>
        </w:rPr>
        <w:t xml:space="preserve">reinstatement to his former position;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(2)</w:t>
      </w:r>
      <w:r>
        <w:rPr>
          <w:color w:val="000000" w:themeColor="text1"/>
          <w:u w:color="000000" w:themeColor="text1"/>
        </w:rPr>
        <w:tab/>
      </w:r>
      <w:r w:rsidRPr="00F518A6">
        <w:rPr>
          <w:color w:val="000000" w:themeColor="text1"/>
          <w:u w:color="000000" w:themeColor="text1"/>
        </w:rPr>
        <w:t xml:space="preserve">lost wages;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(3)</w:t>
      </w:r>
      <w:r>
        <w:rPr>
          <w:color w:val="000000" w:themeColor="text1"/>
          <w:u w:color="000000" w:themeColor="text1"/>
        </w:rPr>
        <w:tab/>
      </w:r>
      <w:r w:rsidRPr="00F518A6">
        <w:rPr>
          <w:color w:val="000000" w:themeColor="text1"/>
          <w:u w:color="000000" w:themeColor="text1"/>
        </w:rPr>
        <w:t xml:space="preserve">actual damages not to exceed fifteen thousand dollars; and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(4)</w:t>
      </w:r>
      <w:r>
        <w:rPr>
          <w:color w:val="000000" w:themeColor="text1"/>
          <w:u w:color="000000" w:themeColor="text1"/>
        </w:rPr>
        <w:tab/>
      </w:r>
      <w:r w:rsidRPr="00F518A6">
        <w:rPr>
          <w:color w:val="000000" w:themeColor="text1"/>
          <w:u w:color="000000" w:themeColor="text1"/>
        </w:rPr>
        <w:t>reasonable attorney</w:t>
      </w:r>
      <w:r>
        <w:rPr>
          <w:color w:val="000000" w:themeColor="text1"/>
          <w:u w:color="000000" w:themeColor="text1"/>
        </w:rPr>
        <w:t>’</w:t>
      </w:r>
      <w:r w:rsidRPr="00F518A6">
        <w:rPr>
          <w:color w:val="000000" w:themeColor="text1"/>
          <w:u w:color="000000" w:themeColor="text1"/>
        </w:rPr>
        <w:t>s fees as determined by the court. This award of attorney</w:t>
      </w:r>
      <w:r>
        <w:rPr>
          <w:color w:val="000000" w:themeColor="text1"/>
          <w:u w:color="000000" w:themeColor="text1"/>
        </w:rPr>
        <w:t>’</w:t>
      </w:r>
      <w:r w:rsidRPr="00F518A6">
        <w:rPr>
          <w:color w:val="000000" w:themeColor="text1"/>
          <w:u w:color="000000" w:themeColor="text1"/>
        </w:rPr>
        <w:t xml:space="preserve">s fees may not exceed ten thousand dollars for a trial and five thousand dollars for an appeal. The action must be brought in the court of common pleas of the county in which the employment action occurred. An action may not be brought under this chapter unless the employee has exhausted all available grievance or other administrative remedies, and any previous proceedings have resulted in a finding that the employee would not have been disciplined but for the reporting of alleged wrongdoing. </w:t>
      </w:r>
    </w:p>
    <w:p w:rsidR="00970018" w:rsidRPr="00F518A6" w:rsidRDefault="009700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518A6">
        <w:rPr>
          <w:color w:val="000000" w:themeColor="text1"/>
          <w:u w:color="000000" w:themeColor="text1"/>
        </w:rPr>
        <w:t xml:space="preserve">An action under this chapter must be commenced within one year after the accrual of the cause of action or exhaustion of all available grievance or other administrative and judicial remedies or is forever barred.” </w:t>
      </w:r>
    </w:p>
    <w:p w:rsidR="00970018" w:rsidRDefault="00970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018" w:rsidRDefault="00970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70018" w:rsidRDefault="009700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5C27" w:rsidRDefault="00FD5C27" w:rsidP="0097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5C27" w:rsidSect="00590C8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509" w:rsidRDefault="00724509" w:rsidP="009F0C77">
      <w:r>
        <w:separator/>
      </w:r>
    </w:p>
  </w:endnote>
  <w:endnote w:type="continuationSeparator" w:id="0">
    <w:p w:rsidR="00724509" w:rsidRDefault="00724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CACD32-BD49-475E-A15C-718A523585C4}"/>
    <w:embedBold r:id="rId2" w:fontKey="{E03FE94B-B39C-4418-95D5-ED062F8654CC}"/>
  </w:font>
  <w:font w:name="Calibri">
    <w:panose1 w:val="020F0502020204030204"/>
    <w:charset w:val="00"/>
    <w:family w:val="swiss"/>
    <w:pitch w:val="variable"/>
    <w:sig w:usb0="E4002EFF" w:usb1="C000247B" w:usb2="00000009" w:usb3="00000000" w:csb0="000001FF" w:csb1="00000000"/>
    <w:embedRegular r:id="rId3" w:fontKey="{993161CE-3ED7-47B7-899A-AB57B234CCFA}"/>
  </w:font>
  <w:font w:name="Segoe UI">
    <w:panose1 w:val="020B0502040204020203"/>
    <w:charset w:val="00"/>
    <w:family w:val="swiss"/>
    <w:pitch w:val="variable"/>
    <w:sig w:usb0="E4002EFF" w:usb1="C000E47F" w:usb2="00000009" w:usb3="00000000" w:csb0="000001FF" w:csb1="00000000"/>
    <w:embedRegular r:id="rId4" w:fontKey="{D141C329-FEA3-4E90-98B8-FC483D13E1A2}"/>
  </w:font>
  <w:font w:name="Cambria">
    <w:panose1 w:val="02040503050406030204"/>
    <w:charset w:val="00"/>
    <w:family w:val="roman"/>
    <w:pitch w:val="variable"/>
    <w:sig w:usb0="E00006FF" w:usb1="420024FF" w:usb2="02000000" w:usb3="00000000" w:csb0="0000019F" w:csb1="00000000"/>
    <w:embedRegular r:id="rId5" w:fontKey="{A77CBAF4-377F-44CA-887B-A7A6C092B8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018" w:rsidRPr="00BC6277" w:rsidRDefault="00970018" w:rsidP="00BC6277">
    <w:pPr>
      <w:pStyle w:val="Footer"/>
      <w:tabs>
        <w:tab w:val="clear" w:pos="4680"/>
        <w:tab w:val="clear" w:pos="9360"/>
        <w:tab w:val="center" w:pos="2995"/>
      </w:tabs>
      <w:spacing w:before="120"/>
    </w:pPr>
    <w:r>
      <w:t>[4149-</w:t>
    </w:r>
    <w:r>
      <w:fldChar w:fldCharType="begin"/>
    </w:r>
    <w:r>
      <w:instrText xml:space="preserve"> PAGE  \* MERGEFORMAT </w:instrText>
    </w:r>
    <w:r>
      <w:fldChar w:fldCharType="separate"/>
    </w:r>
    <w:r w:rsidR="002A651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C89" w:rsidRPr="00BC6277" w:rsidRDefault="00970018" w:rsidP="00BC6277">
    <w:pPr>
      <w:pStyle w:val="Footer"/>
      <w:tabs>
        <w:tab w:val="clear" w:pos="4680"/>
        <w:tab w:val="clear" w:pos="9360"/>
        <w:tab w:val="center" w:pos="2995"/>
      </w:tabs>
      <w:spacing w:before="120"/>
    </w:pPr>
    <w:r>
      <w:t>[4149]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509" w:rsidRDefault="00724509" w:rsidP="009F0C77">
      <w:r>
        <w:separator/>
      </w:r>
    </w:p>
  </w:footnote>
  <w:footnote w:type="continuationSeparator" w:id="0">
    <w:p w:rsidR="00724509" w:rsidRDefault="00724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1PH21"/>
    <w:docVar w:name="CoverBillType" w:val="b"/>
    <w:docVar w:name="DocPath" w:val="L:\Council\bills\JN\3391PH21.DOCX"/>
    <w:docVar w:name="dvBillNumber" w:val="4149"/>
    <w:docVar w:name="dvBillNumberPrefix" w:val="H. "/>
    <w:docVar w:name="dvOriginalBody" w:val="House"/>
    <w:docVar w:name="dvSteno" w:val="JN"/>
    <w:docVar w:name="NameofBody" w:val="h"/>
    <w:docVar w:name="vGroup2" w:val="Council"/>
  </w:docVars>
  <w:rsids>
    <w:rsidRoot w:val="00FC761E"/>
    <w:rsid w:val="00011869"/>
    <w:rsid w:val="00015CD6"/>
    <w:rsid w:val="00047F78"/>
    <w:rsid w:val="00091630"/>
    <w:rsid w:val="000B0B9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651A"/>
    <w:rsid w:val="002E5912"/>
    <w:rsid w:val="002F15B8"/>
    <w:rsid w:val="00301B21"/>
    <w:rsid w:val="00325348"/>
    <w:rsid w:val="0032732C"/>
    <w:rsid w:val="00336AD0"/>
    <w:rsid w:val="0037079A"/>
    <w:rsid w:val="003C4DAB"/>
    <w:rsid w:val="003D01E8"/>
    <w:rsid w:val="003E41D3"/>
    <w:rsid w:val="003E5288"/>
    <w:rsid w:val="003F6D79"/>
    <w:rsid w:val="0041760A"/>
    <w:rsid w:val="00417C01"/>
    <w:rsid w:val="0042607D"/>
    <w:rsid w:val="004403BD"/>
    <w:rsid w:val="00461441"/>
    <w:rsid w:val="004809EE"/>
    <w:rsid w:val="004D60C7"/>
    <w:rsid w:val="004E7D54"/>
    <w:rsid w:val="005273C6"/>
    <w:rsid w:val="00530A69"/>
    <w:rsid w:val="00545593"/>
    <w:rsid w:val="00556EBF"/>
    <w:rsid w:val="00577C6C"/>
    <w:rsid w:val="005A62FE"/>
    <w:rsid w:val="005C2FE2"/>
    <w:rsid w:val="005E2BC9"/>
    <w:rsid w:val="00605102"/>
    <w:rsid w:val="006215AA"/>
    <w:rsid w:val="006555AA"/>
    <w:rsid w:val="006913C9"/>
    <w:rsid w:val="0069470D"/>
    <w:rsid w:val="006D58AA"/>
    <w:rsid w:val="00724509"/>
    <w:rsid w:val="00734F00"/>
    <w:rsid w:val="00736959"/>
    <w:rsid w:val="007A70AE"/>
    <w:rsid w:val="008362E8"/>
    <w:rsid w:val="0085786E"/>
    <w:rsid w:val="008A1768"/>
    <w:rsid w:val="008A489F"/>
    <w:rsid w:val="008B7665"/>
    <w:rsid w:val="008F0F33"/>
    <w:rsid w:val="008F4429"/>
    <w:rsid w:val="0094021A"/>
    <w:rsid w:val="009549F2"/>
    <w:rsid w:val="00970018"/>
    <w:rsid w:val="00974F59"/>
    <w:rsid w:val="009B44AF"/>
    <w:rsid w:val="009C6A0B"/>
    <w:rsid w:val="009F0C77"/>
    <w:rsid w:val="009F4DD1"/>
    <w:rsid w:val="00A02543"/>
    <w:rsid w:val="00A41684"/>
    <w:rsid w:val="00A57847"/>
    <w:rsid w:val="00A64E80"/>
    <w:rsid w:val="00A72BCD"/>
    <w:rsid w:val="00A741D9"/>
    <w:rsid w:val="00A833AB"/>
    <w:rsid w:val="00A9741D"/>
    <w:rsid w:val="00AC34A2"/>
    <w:rsid w:val="00AD1C9A"/>
    <w:rsid w:val="00AD4B17"/>
    <w:rsid w:val="00B412D4"/>
    <w:rsid w:val="00B64FFF"/>
    <w:rsid w:val="00B75440"/>
    <w:rsid w:val="00BA5096"/>
    <w:rsid w:val="00BC6277"/>
    <w:rsid w:val="00BE3C22"/>
    <w:rsid w:val="00C0345E"/>
    <w:rsid w:val="00C21ABE"/>
    <w:rsid w:val="00C31C95"/>
    <w:rsid w:val="00C3483A"/>
    <w:rsid w:val="00C36A86"/>
    <w:rsid w:val="00C74E9D"/>
    <w:rsid w:val="00C826DD"/>
    <w:rsid w:val="00C82FD3"/>
    <w:rsid w:val="00C92819"/>
    <w:rsid w:val="00CC6B7B"/>
    <w:rsid w:val="00CD2089"/>
    <w:rsid w:val="00CD415D"/>
    <w:rsid w:val="00CF5418"/>
    <w:rsid w:val="00CF5C2E"/>
    <w:rsid w:val="00D21736"/>
    <w:rsid w:val="00D3296A"/>
    <w:rsid w:val="00D73A67"/>
    <w:rsid w:val="00D970A9"/>
    <w:rsid w:val="00DF3845"/>
    <w:rsid w:val="00E41911"/>
    <w:rsid w:val="00E44B57"/>
    <w:rsid w:val="00E92EEF"/>
    <w:rsid w:val="00ED3DFA"/>
    <w:rsid w:val="00EF2368"/>
    <w:rsid w:val="00EF44FD"/>
    <w:rsid w:val="00F24442"/>
    <w:rsid w:val="00F50AE3"/>
    <w:rsid w:val="00F655B7"/>
    <w:rsid w:val="00F656BA"/>
    <w:rsid w:val="00F67CF1"/>
    <w:rsid w:val="00F728AA"/>
    <w:rsid w:val="00F840F0"/>
    <w:rsid w:val="00FB0D0D"/>
    <w:rsid w:val="00FB43B4"/>
    <w:rsid w:val="00FB6B0B"/>
    <w:rsid w:val="00FC761E"/>
    <w:rsid w:val="00FD1D3A"/>
    <w:rsid w:val="00FD5C27"/>
    <w:rsid w:val="00FE77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983CED-1874-4D0E-B8AE-C4E63EB5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509"/>
    <w:rPr>
      <w:rFonts w:ascii="Segoe UI" w:eastAsia="Times New Roman" w:hAnsi="Segoe UI" w:cs="Segoe UI"/>
      <w:sz w:val="18"/>
      <w:szCs w:val="18"/>
    </w:rPr>
  </w:style>
  <w:style w:type="character" w:styleId="Hyperlink">
    <w:name w:val="Hyperlink"/>
    <w:basedOn w:val="DefaultParagraphFont"/>
    <w:uiPriority w:val="99"/>
    <w:unhideWhenUsed/>
    <w:rsid w:val="00FD5C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hyperlink" Target="file:///h:\sj\2021042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406.docx" TargetMode="External"/><Relationship Id="rId12" Type="http://schemas.openxmlformats.org/officeDocument/2006/relationships/hyperlink" Target="file:///h:\hj\20210429.docx" TargetMode="External"/><Relationship Id="rId17" Type="http://schemas.openxmlformats.org/officeDocument/2006/relationships/hyperlink" Target="file:///p:\pprever\2021-22\4149_20210422.docx" TargetMode="External"/><Relationship Id="rId2" Type="http://schemas.openxmlformats.org/officeDocument/2006/relationships/styles" Target="styles.xml"/><Relationship Id="rId16" Type="http://schemas.openxmlformats.org/officeDocument/2006/relationships/hyperlink" Target="file:///p:\pprever\2021-22\4149_2021040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149&amp;session=124&amp;summary=B" TargetMode="External"/><Relationship Id="rId10" Type="http://schemas.openxmlformats.org/officeDocument/2006/relationships/hyperlink" Target="file:///h:\hj\20210428.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422.docx" TargetMode="External"/><Relationship Id="rId14" Type="http://schemas.openxmlformats.org/officeDocument/2006/relationships/hyperlink" Target="file:///h:\sj\2021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89CA8-0F14-4957-9422-DDB77B81C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1047</Words>
  <Characters>5973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4149: Subject not yet available - South Carolina Legislature Online</dc:title>
  <dc:creator>Julie Newboult</dc:creator>
  <cp:lastModifiedBy>Sade Wilson</cp:lastModifiedBy>
  <cp:revision>2</cp:revision>
  <cp:lastPrinted>2021-03-23T15:23:00Z</cp:lastPrinted>
  <dcterms:created xsi:type="dcterms:W3CDTF">2021-07-20T16:16:00Z</dcterms:created>
  <dcterms:modified xsi:type="dcterms:W3CDTF">2021-07-20T16:16:00Z</dcterms:modified>
</cp:coreProperties>
</file>