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0840">
        <w:t>CHAPTER 122</w:t>
      </w:r>
    </w:p>
    <w:p w:rsidR="00930840" w:rsidRP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0840">
        <w:t>The Citadel Housing Revenue Bonds</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10.</w:t>
      </w:r>
      <w:r w:rsidR="00761B28" w:rsidRPr="00930840">
        <w:t xml:space="preserve"> Definitions.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As used in this chapter:</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 "Auxiliary facilities"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(2) "Board" means the Board of Visitors of The Citadel.</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(3) "Bond" or "bonds" means any note, bond, installment contract, or other evidence of indebtedness issued pursuant to this chapter.</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(4) "Facilities" means student and faculty housing auxiliary facilities or either of them.</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(5) "Maximum annual debt service" means the total amount of principal, premium, if any, and interest due and payable by The Citadel in any fiscal year of The Citadel.</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(6) "Revenues" means receipts of The Citadel from the operation of any of the facilities. 'Net revenues' means these receipts reduced by the necessary expenses for operation and maintenance of the facilities.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(7) "Authority" means the State Fiscal Accountability Authority.</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(8) "Student and faculty housing"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20.</w:t>
      </w:r>
      <w:r w:rsidR="00761B28" w:rsidRPr="00930840">
        <w:t xml:space="preserve"> Authority to acquire, maintain, or rehabilitate student and faculty housing; authority to incur debt and issue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(B) To provide the money necessary to pay the costs incurred in the exercise of its powers, the board is authorized to incur indebtedness, the principal amount outstanding at any time may not exceed twenty</w:t>
      </w:r>
      <w:r w:rsidR="00930840" w:rsidRPr="00930840">
        <w:noBreakHyphen/>
      </w:r>
      <w:r w:rsidRPr="00930840">
        <w:t>five million dollars and to apply the proceeds in accord with Section 59</w:t>
      </w:r>
      <w:r w:rsidR="00930840" w:rsidRPr="00930840">
        <w:noBreakHyphen/>
      </w:r>
      <w:r w:rsidRPr="00930840">
        <w:t>122</w:t>
      </w:r>
      <w:r w:rsidR="00930840" w:rsidRPr="00930840">
        <w:noBreakHyphen/>
      </w:r>
      <w:r w:rsidRPr="00930840">
        <w:t>30 of this chapter. The board is authorized to issue bond anticipation notes as provided in Chapter 17 of Title 11 and to refund or advance refund any bonds issued pursuant to this at such terms and under such conditions as it considers appropriate, with State Fiscal Accountability Authority or the Department of Administration, as appropriate, approval, following review by the Joint Bond Review Committee.</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30.</w:t>
      </w:r>
      <w:r w:rsidR="00761B28" w:rsidRPr="00930840">
        <w:t xml:space="preserve"> Disposition of proceeds from sale of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Any accrued interest received by The Citadel from the initial purchasers of the bonds must be used to pay the first maturing installment of interest on the bonds. The proceeds from the sale of bonds must be applied solely to the following:</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lastRenderedPageBreak/>
        <w:tab/>
      </w:r>
      <w:r w:rsidRPr="00930840">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(3) interest on the bonds and other carrying charges until the facilities being acquired or renovated are placed in service.</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40.</w:t>
      </w:r>
      <w:r w:rsidR="00761B28" w:rsidRPr="00930840">
        <w:t xml:space="preserve"> Requirements for issuance of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(A) No bonds may be issued under the provisions of this chapter unless: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 the State Fiscal Accountability Authority or Department of Administration, as appropriate, following review by the Joint Bond Review Committee, approves the Board of Visitors' issue proposal; and</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(2) the Board of Visitors demonstrates to the satisfaction of the State Fiscal Accountability Authority or Department of Administration, as appropriate, that one of the following tests is met:</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r>
      <w:r w:rsidRPr="00930840">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r>
      <w:r w:rsidRPr="00930840">
        <w:tab/>
        <w:t>(b) in the case of any refunding, the principal and interest payments due on the refunding bonds may not be greater than the principal and interest requirements on the bonds being refunded.</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50.</w:t>
      </w:r>
      <w:r w:rsidR="00761B28" w:rsidRPr="00930840">
        <w:t xml:space="preserve"> Security for payment of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60.</w:t>
      </w:r>
      <w:r w:rsidR="00761B28" w:rsidRPr="00930840">
        <w:t xml:space="preserve"> State's faith and credit not pledged for payment; board members not personally liable.</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lastRenderedPageBreak/>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70.</w:t>
      </w:r>
      <w:r w:rsidR="00761B28" w:rsidRPr="00930840">
        <w:t xml:space="preserve"> Issuance of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80.</w:t>
      </w:r>
      <w:r w:rsidR="00761B28" w:rsidRPr="00930840">
        <w:t xml:space="preserve"> Bonds may be registered; debt by book</w:t>
      </w:r>
      <w:r w:rsidRPr="00930840">
        <w:noBreakHyphen/>
      </w:r>
      <w:r w:rsidR="00761B28" w:rsidRPr="00930840">
        <w:t>entry only system permitted; verification of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Bonds issued pursuant to this chapter may be in fully registered form with ownership recorded on books of registry kept for that purpose by or at the direction of the board. The board may also provide for the incurrence of debt through use of a book</w:t>
      </w:r>
      <w:r w:rsidR="00930840" w:rsidRPr="00930840">
        <w:noBreakHyphen/>
      </w:r>
      <w:r w:rsidRPr="00930840">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90.</w:t>
      </w:r>
      <w:r w:rsidR="00761B28" w:rsidRPr="00930840">
        <w:t xml:space="preserve"> Bonds and interest exempt from taxation.</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The bonds authorized by this chapter and all interest to become due on them is exempt from taxation as provided in Section 12</w:t>
      </w:r>
      <w:r w:rsidR="00930840" w:rsidRPr="00930840">
        <w:noBreakHyphen/>
      </w:r>
      <w:r w:rsidRPr="00930840">
        <w:t>1</w:t>
      </w:r>
      <w:r w:rsidR="00930840" w:rsidRPr="00930840">
        <w:noBreakHyphen/>
      </w:r>
      <w:r w:rsidRPr="00930840">
        <w:t>60.</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100.</w:t>
      </w:r>
      <w:r w:rsidR="00761B28" w:rsidRPr="00930840">
        <w:t xml:space="preserve"> Investment in bonds by fiduciaries permitted.</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It is lawful for all executors, administrators, guardians, and fiduciaries, all sinking fund commissions, and the Public Employee Benefit Authority and the State Fiscal Accountability Authority as cotrustees of the South Carolina Retirement System to invest any monies in their possession in these bonds.</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110.</w:t>
      </w:r>
      <w:r w:rsidR="00761B28" w:rsidRPr="00930840">
        <w:t xml:space="preserve"> Sale of bonds by board; notice.</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120.</w:t>
      </w:r>
      <w:r w:rsidR="00761B28" w:rsidRPr="00930840">
        <w:t xml:space="preserve"> Authority of board.</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To the end that the payment of the principal and interest of the bonds authorized is adequately secured, the board may:</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(2) pledge the revenues or net revenues as provided in Section 59</w:t>
      </w:r>
      <w:r w:rsidR="00930840" w:rsidRPr="00930840">
        <w:noBreakHyphen/>
      </w:r>
      <w:r w:rsidRPr="00930840">
        <w:t>122</w:t>
      </w:r>
      <w:r w:rsidR="00930840" w:rsidRPr="00930840">
        <w:noBreakHyphen/>
      </w:r>
      <w:r w:rsidRPr="00930840">
        <w:t>50 for the payment of the principal of and interest on the bonds as they respectively mature;</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(3) covenant that none of the facilities will be used free of charge, or specify and limit the facilities which may be made use of free of charge;</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(4) covenant to establish and maintain the system of rules as will ensure the continuous use and occupancy of the facilities, the revenues from which are pledged to secure any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(5) covenant that an adequate schedule of charges will be established and maintained for all the facilities, the revenues from which are pledged to secure any bonds, to the extent necessary to provide sufficient revenues to:</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r>
      <w:r w:rsidRPr="00930840">
        <w:tab/>
        <w:t>(a) pay the cost of operating and maintaining the facilities including the cost of fire, extended coverage, and occupancy insurance;</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r>
      <w:r w:rsidRPr="00930840">
        <w:tab/>
        <w:t>(b) pay the principal and interest of the bonds as they respectively become due;</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r>
      <w:r w:rsidRPr="00930840">
        <w:tab/>
        <w:t>(c) create and at all times maintain any reserve fund considered necessary to meet the payment of the principal and interest;</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r>
      <w:r w:rsidRPr="00930840">
        <w:tab/>
        <w:t>(d) create and at all times maintain an adequate reserve for contingencies and for major repairs and replacement;</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(7) covenant as to the use of the proceeds derived from the sale of any bonds issued pursuant to this chapter;</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(8) provide for the terms, form, registration, exchange, execution, and authentication of bonds and for the replacement of lost, destroyed, or mutilated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(9) make covenants with respect to the use of facilities to be acquired or renovated with the proceeds of the bonds authorized in this chapter and of the other facilities, the revenues from which are pledged for the payment of the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(10) covenant that all revenues or net revenues pledged for the payment of the bonds must be segregated into special funds and that the funds will be used solely for the purposes for which they are intended and for no other purpose;</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(11) covenant for the mandatory redemption of bonds on such terms and conditions as the resolutions authorizing the bonds must prescribe;</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(12) prescribe the procedure, if any, by which the terms of the contract with the bondholders may be amended, the number of bonds whose holders must consent to it, and the manner in which the consent may be given;</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(13) covenant as to the maintenance of the facilities, the revenues from which are pledged for the payment of the bonds, the insurance to be carried on the facilities, and the use and disposition of proceeds from any insurance policy;</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(14) prescribe the events of default and the terms and conditions upon which all or any bonds become or may be declared due before maturity and the terms and conditions upon which the declaration and its consequences may be waived;</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 xml:space="preserve">(17) establish on or before the occasion of the delivery of any bonds issued pursuant to this chapter a debt service reserve fund and cause it to be deposited with a corporate trustee and, to that </w:t>
      </w:r>
      <w:r w:rsidRPr="00930840">
        <w:lastRenderedPageBreak/>
        <w:t>end, the board is empowered to utilize any monies available for that purpose, including revenues previously accumulated from the facilities before the issuance of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(18) enter into an indenture with a corporate trustee providing for the collection and disbursement of net revenues and the maintenance of any reserve funds for which provision is made;</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r>
      <w:r w:rsidRPr="00930840">
        <w:tab/>
        <w:t>(19) contract with such advisors and counsel as it considers appropriate in connection with the issuance and sale of the bonds.</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B28" w:rsidRPr="00930840">
        <w:t xml:space="preserve">: 1989 Act No. 102, </w:t>
      </w:r>
      <w:r w:rsidRPr="00930840">
        <w:t xml:space="preserve">Section </w:t>
      </w:r>
      <w:r w:rsidR="00761B28" w:rsidRPr="00930840">
        <w:t>2.</w:t>
      </w:r>
    </w:p>
    <w:p w:rsidR="00930840" w:rsidRP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rPr>
          <w:b/>
        </w:rPr>
        <w:t xml:space="preserve">SECTION </w:t>
      </w:r>
      <w:r w:rsidR="00761B28" w:rsidRPr="00930840">
        <w:rPr>
          <w:b/>
        </w:rPr>
        <w:t>59</w:t>
      </w:r>
      <w:r w:rsidRPr="00930840">
        <w:rPr>
          <w:b/>
        </w:rPr>
        <w:noBreakHyphen/>
      </w:r>
      <w:r w:rsidR="00761B28" w:rsidRPr="00930840">
        <w:rPr>
          <w:b/>
        </w:rPr>
        <w:t>122</w:t>
      </w:r>
      <w:r w:rsidRPr="00930840">
        <w:rPr>
          <w:b/>
        </w:rPr>
        <w:noBreakHyphen/>
      </w:r>
      <w:r w:rsidR="00761B28" w:rsidRPr="00930840">
        <w:rPr>
          <w:b/>
        </w:rPr>
        <w:t>130.</w:t>
      </w:r>
      <w:r w:rsidR="00761B28" w:rsidRPr="00930840">
        <w:t xml:space="preserve"> Time limitation for issuance of bonds.</w:t>
      </w:r>
    </w:p>
    <w:p w:rsidR="00930840" w:rsidRDefault="00761B28"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840">
        <w:tab/>
        <w:t>No time limit is set for the issuance of bonds pursuant to this chapter.</w:t>
      </w: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840" w:rsidRDefault="00930840"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1B28" w:rsidRPr="00930840">
        <w:t xml:space="preserve">: 1989 Act No. 102, </w:t>
      </w:r>
      <w:r w:rsidRPr="00930840">
        <w:t xml:space="preserve">Section </w:t>
      </w:r>
      <w:r w:rsidR="00761B28" w:rsidRPr="00930840">
        <w:t>5.</w:t>
      </w:r>
    </w:p>
    <w:p w:rsidR="003C285A" w:rsidRPr="00930840" w:rsidRDefault="003C285A" w:rsidP="00930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30840" w:rsidSect="009308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0840" w:rsidRDefault="00930840" w:rsidP="00930840">
      <w:pPr>
        <w:spacing w:after="0" w:line="240" w:lineRule="auto"/>
      </w:pPr>
      <w:r>
        <w:separator/>
      </w:r>
    </w:p>
  </w:endnote>
  <w:endnote w:type="continuationSeparator" w:id="0">
    <w:p w:rsidR="00930840" w:rsidRDefault="00930840" w:rsidP="0093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40" w:rsidRPr="00930840" w:rsidRDefault="00930840" w:rsidP="00930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40" w:rsidRPr="00930840" w:rsidRDefault="00930840" w:rsidP="00930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40" w:rsidRPr="00930840" w:rsidRDefault="00930840" w:rsidP="0093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0840" w:rsidRDefault="00930840" w:rsidP="00930840">
      <w:pPr>
        <w:spacing w:after="0" w:line="240" w:lineRule="auto"/>
      </w:pPr>
      <w:r>
        <w:separator/>
      </w:r>
    </w:p>
  </w:footnote>
  <w:footnote w:type="continuationSeparator" w:id="0">
    <w:p w:rsidR="00930840" w:rsidRDefault="00930840" w:rsidP="0093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40" w:rsidRPr="00930840" w:rsidRDefault="00930840" w:rsidP="00930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40" w:rsidRPr="00930840" w:rsidRDefault="00930840" w:rsidP="00930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40" w:rsidRPr="00930840" w:rsidRDefault="00930840" w:rsidP="00930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28"/>
    <w:rsid w:val="000929E5"/>
    <w:rsid w:val="00197975"/>
    <w:rsid w:val="002C68C1"/>
    <w:rsid w:val="003C285A"/>
    <w:rsid w:val="00514D67"/>
    <w:rsid w:val="00700E5B"/>
    <w:rsid w:val="007248EF"/>
    <w:rsid w:val="00761B28"/>
    <w:rsid w:val="00892412"/>
    <w:rsid w:val="00930840"/>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E0200-B462-414E-86C3-7952A529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61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B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B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B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B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B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B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B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B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B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B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B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B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B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B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B28"/>
    <w:rPr>
      <w:rFonts w:eastAsiaTheme="majorEastAsia" w:cstheme="majorBidi"/>
      <w:color w:val="272727" w:themeColor="text1" w:themeTint="D8"/>
    </w:rPr>
  </w:style>
  <w:style w:type="paragraph" w:styleId="Title">
    <w:name w:val="Title"/>
    <w:basedOn w:val="Normal"/>
    <w:next w:val="Normal"/>
    <w:link w:val="TitleChar"/>
    <w:uiPriority w:val="10"/>
    <w:qFormat/>
    <w:rsid w:val="00761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B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B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B28"/>
    <w:pPr>
      <w:spacing w:before="160"/>
      <w:jc w:val="center"/>
    </w:pPr>
    <w:rPr>
      <w:i/>
      <w:iCs/>
      <w:color w:val="404040" w:themeColor="text1" w:themeTint="BF"/>
    </w:rPr>
  </w:style>
  <w:style w:type="character" w:customStyle="1" w:styleId="QuoteChar">
    <w:name w:val="Quote Char"/>
    <w:basedOn w:val="DefaultParagraphFont"/>
    <w:link w:val="Quote"/>
    <w:uiPriority w:val="29"/>
    <w:rsid w:val="00761B28"/>
    <w:rPr>
      <w:i/>
      <w:iCs/>
      <w:color w:val="404040" w:themeColor="text1" w:themeTint="BF"/>
    </w:rPr>
  </w:style>
  <w:style w:type="paragraph" w:styleId="ListParagraph">
    <w:name w:val="List Paragraph"/>
    <w:basedOn w:val="Normal"/>
    <w:uiPriority w:val="34"/>
    <w:qFormat/>
    <w:rsid w:val="00761B28"/>
    <w:pPr>
      <w:ind w:left="720"/>
      <w:contextualSpacing/>
    </w:pPr>
  </w:style>
  <w:style w:type="character" w:styleId="IntenseEmphasis">
    <w:name w:val="Intense Emphasis"/>
    <w:basedOn w:val="DefaultParagraphFont"/>
    <w:uiPriority w:val="21"/>
    <w:qFormat/>
    <w:rsid w:val="00761B28"/>
    <w:rPr>
      <w:i/>
      <w:iCs/>
      <w:color w:val="0F4761" w:themeColor="accent1" w:themeShade="BF"/>
    </w:rPr>
  </w:style>
  <w:style w:type="paragraph" w:styleId="IntenseQuote">
    <w:name w:val="Intense Quote"/>
    <w:basedOn w:val="Normal"/>
    <w:next w:val="Normal"/>
    <w:link w:val="IntenseQuoteChar"/>
    <w:uiPriority w:val="30"/>
    <w:qFormat/>
    <w:rsid w:val="00761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B28"/>
    <w:rPr>
      <w:i/>
      <w:iCs/>
      <w:color w:val="0F4761" w:themeColor="accent1" w:themeShade="BF"/>
    </w:rPr>
  </w:style>
  <w:style w:type="character" w:styleId="IntenseReference">
    <w:name w:val="Intense Reference"/>
    <w:basedOn w:val="DefaultParagraphFont"/>
    <w:uiPriority w:val="32"/>
    <w:qFormat/>
    <w:rsid w:val="00761B2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6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1B2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30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840"/>
    <w:rPr>
      <w:rFonts w:ascii="Times New Roman" w:hAnsi="Times New Roman" w:cs="Times New Roman"/>
      <w:kern w:val="0"/>
      <w14:ligatures w14:val="none"/>
    </w:rPr>
  </w:style>
  <w:style w:type="paragraph" w:styleId="Footer">
    <w:name w:val="footer"/>
    <w:basedOn w:val="Normal"/>
    <w:link w:val="FooterChar"/>
    <w:uiPriority w:val="99"/>
    <w:unhideWhenUsed/>
    <w:rsid w:val="00930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84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2682</Words>
  <Characters>15294</Characters>
  <Application>Microsoft Office Word</Application>
  <DocSecurity>0</DocSecurity>
  <Lines>127</Lines>
  <Paragraphs>35</Paragraphs>
  <ScaleCrop>false</ScaleCrop>
  <Company>Legislative Services Agency</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