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5178">
        <w:t>CHAPTER 6</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178">
        <w:t>South Carolina Uniform Prudent Management of Institutional Funds Act</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10.</w:t>
      </w:r>
      <w:r w:rsidR="00094D1E" w:rsidRPr="001B5178">
        <w:t xml:space="preserve"> Short title.</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This chapter may be cited as the "South Carolina Uniform Prudent Management of Institutional Funds Act".</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20.</w:t>
      </w:r>
      <w:r w:rsidR="00094D1E" w:rsidRPr="001B5178">
        <w:t xml:space="preserve"> Definitions.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In this chapter:</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(1) "Charitable purpose" means the relief of poverty, the advancement of education or religion, the promotion of health, the promotion of a governmental purpose, or another purpose, the achievement of which is beneficial to the community.</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(2) "Endowment fund" means an institutional fund or part of one that, under the terms of a gift instrument, is not wholly expendable by the institution on a current basis. The term does not include assets that an institution designates as an endowment fund for its own use.</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(3) "Gift instrument" means a record or records, including an institutional solicitation, under which property is granted to, transferred to, or held by an institution as an institutional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(4) "Institution" means: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(a) a person, other than an individual, organized and operated exclusively for charitable purposes;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(b) a government or governmental subdivision, agency, or instrumentality, to the extent that it holds funds exclusively for charitable purposes; or</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(c) a trust that had both charitable and noncharitable interests, after all noncharitable interests have terminated.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(5) "Institutional fund" means a fund held by an institution exclusively for charitable purposes. The term does not include:</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(a) program</w:t>
      </w:r>
      <w:r w:rsidR="001B5178" w:rsidRPr="001B5178">
        <w:noBreakHyphen/>
      </w:r>
      <w:r w:rsidRPr="001B5178">
        <w:t>related assets;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(b) a fund held for an institution by a trustee that is not an institution; or</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(c) a fund in which a beneficiary that is not an institution has an interest, other than the interest that could arise upon violation or failure of the purposes of the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(6) "Person" means an individual, corporation, business trust, estate, trust, partnership, limited liability company, association, joint venture, public cooperation, government or governmental subdivision, agency, or instrumentality, or other legal or commercial entity.</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(7) "Program</w:t>
      </w:r>
      <w:r w:rsidR="001B5178" w:rsidRPr="001B5178">
        <w:noBreakHyphen/>
      </w:r>
      <w:r w:rsidRPr="001B5178">
        <w:t>related asset" means an asset held by an institution primarily to accomplish a charitable purpose of the institution and not primarily for investment.</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(8) "Record" means information that is inscribed on a tangible medium or that is stored in an electronic or other medium and is retrievable in perceivable form.</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30.</w:t>
      </w:r>
      <w:r w:rsidR="00094D1E" w:rsidRPr="001B5178">
        <w:t xml:space="preserve"> Standard of conduct in managing and investing institutional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(A) Subject to the intent of a donor expressed in a gift instrument, an institution, in managing and investing an institutional fund, shall consider the charitable purposes of the institution and the purposes of the institutional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lastRenderedPageBreak/>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(C) In managing and investing an institutional fund, an institution: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(1) may incur costs that are appropriate and reasonable in relation to the assets, the purposes of the institution, and the skills available to the institutions; and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(2) shall make a reasonable effort to verify facts relevant to the management and investment of the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(D) An institution may pool two or more institutional funds for purposes of management and investment.</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(E) Except as otherwise provided by a gift instrument, the following rules apply:</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(1) In managing and investing an institutional fund, the following factors, if relevant, must be considered: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(a) general economic conditions;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(b) the possible effect of inflation or deflation;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(c) the expected tax consequences, if any, of investment decisions or strategies;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(d) the role that each investment or course of action plays within the overall investment portfolio of the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(e) the expected total return from income and the appreciation of investments;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(f) other resources of the institution;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(g) the needs of the institution and the fund to make distributions and to preserve capital; and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r>
      <w:r w:rsidRPr="001B5178">
        <w:tab/>
        <w:t>(h) an asset's special relationship or special value, if any, to the charitable purposes of the institution.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(2) 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(3) Except as otherwise provided by law other than this chapter, an institution may invest in any kind of property or type of investment consistent with this section.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(4) An institution shall diversify the investments of an institutional fund unless the institution reasonably determines that, because of special circumstances, the purposes of the fund are better served without diversification.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(6) A person that has special skills or expertise, or is selected in reliance upon the person's representation that the person has special skills or expertise, has a duty to use those skills or that expertise in managing and investing institutional funds.</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40.</w:t>
      </w:r>
      <w:r w:rsidR="00094D1E" w:rsidRPr="001B5178">
        <w:t xml:space="preserve"> Appropriation for expenditure or accumulation of endowment fund; rules of construction.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1B5178" w:rsidRPr="001B5178">
        <w:noBreakHyphen/>
      </w:r>
      <w:r w:rsidRPr="001B5178">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(1) the duration and preservation of the endowment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lastRenderedPageBreak/>
        <w:tab/>
      </w:r>
      <w:r w:rsidRPr="001B5178">
        <w:tab/>
        <w:t>(2) the purposes of the institution and the endowment fund;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(3) general economic conditions;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(4) the possible effect of inflation or deflation;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(5) the expected total return from income and the appreciation of investments;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(6) other resources of the institution; and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(7) the investment policy of the institution.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(B) To limit the authority to appropriate for expenditure or accumulate pursuant to subsection (A), a gift instrument must specifically state the limitation.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(C) Terms in a gift instrument designating a gift as an endowment, or a direction or authorization in the gift instrument to use only "income", "interest", "dividends", or "rents", "issues", or "profits", or "to preserve the principal intact", or words of similar import:</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(1) create an endowment fund of permanent duration unless other language in the gift instrument limits the duration or purpose of the fund; and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(2) do not otherwise limit the authority to appropriate for expenditure or accumulate pursuant to subsection (A).</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50.</w:t>
      </w:r>
      <w:r w:rsidR="00094D1E" w:rsidRPr="001B5178">
        <w:t xml:space="preserve"> Delegation of management and investment functions.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(1) selecting an agent;</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(2) establishing the scope and terms of the delegation, consistent with the purposes of the institution and the institutional fund; and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(3) periodically reviewing the agent's actions in order to monitor the agent's performance and compliance with the scope and terms of the delegation.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(B) In performing a delegated function, an agent owes a duty to the institution to exercise reasonable care to comply with the scope and terms of the delegation.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(C) An institution that complies with subsection (A) is not liable for the decisions or actions of an agent to which the function was delegated.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(E) An institution may delegate management and investment functions to its committees, officers, or employees as authorized by law of this State other than this chapter.</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60.</w:t>
      </w:r>
      <w:r w:rsidR="00094D1E" w:rsidRPr="001B5178">
        <w:t xml:space="preserve"> Release or modification of restrictions on management, investment, or purpose.</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donor's probable intention.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 xml:space="preserve">(C) If a particular charitable purpose or a restriction contained in a gift instrument on the use of an institutional fund becomes unlawful, impracticable, impossible to achieve, or wasteful, the court, upon </w:t>
      </w:r>
      <w:r w:rsidRPr="001B5178">
        <w:lastRenderedPageBreak/>
        <w:t>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(1) the institutional fund subject to the restriction has a total value of less then twenty</w:t>
      </w:r>
      <w:r w:rsidR="001B5178" w:rsidRPr="001B5178">
        <w:noBreakHyphen/>
      </w:r>
      <w:r w:rsidRPr="001B5178">
        <w:t>five thousand dollars;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(2) more than twenty years have elapsed since the fund was established; and</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r>
      <w:r w:rsidRPr="001B5178">
        <w:tab/>
        <w:t>(3) the institution uses the property in a manner consistent with charitable purposes expressed in the gift instrument.</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70.</w:t>
      </w:r>
      <w:r w:rsidR="00094D1E" w:rsidRPr="001B5178">
        <w:t xml:space="preserve"> Review of compliance.</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Compliance with this chapter is determined in light of the facts and circumstances existing at the time a decision is made or action is taken, and not by hindsight.</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80.</w:t>
      </w:r>
      <w:r w:rsidR="00094D1E" w:rsidRPr="001B5178">
        <w:t xml:space="preserve"> Application to existing institutional funds.</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1990 Act No. 390, </w:t>
      </w:r>
      <w:r w:rsidRPr="001B5178">
        <w:t xml:space="preserve">Section </w:t>
      </w:r>
      <w:r w:rsidR="00094D1E" w:rsidRPr="001B5178">
        <w:t xml:space="preserve">1, eff July 1, 1990; 2008 Act No. 289, </w:t>
      </w:r>
      <w:r w:rsidRPr="001B5178">
        <w:t xml:space="preserve">Section </w:t>
      </w:r>
      <w:r w:rsidR="00094D1E" w:rsidRPr="001B5178">
        <w:t>1, eff July 1, 2008.</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Effect of Amendment</w:t>
      </w:r>
    </w:p>
    <w:p w:rsidR="001B5178" w:rsidRP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78">
        <w:t>The 2008 amendment rewrote the section.</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90.</w:t>
      </w:r>
      <w:r w:rsidR="00094D1E" w:rsidRPr="001B5178">
        <w:t xml:space="preserve"> Relation to Electronic Signatures in Global and National Commerce Act.</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4D1E" w:rsidRPr="001B5178">
        <w:t xml:space="preserve">: 2008 Act No. 289, </w:t>
      </w:r>
      <w:r w:rsidRPr="001B5178">
        <w:t xml:space="preserve">Section </w:t>
      </w:r>
      <w:r w:rsidR="00094D1E" w:rsidRPr="001B5178">
        <w:t>1, eff July 1, 2008.</w:t>
      </w:r>
    </w:p>
    <w:p w:rsidR="001B5178" w:rsidRP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rPr>
          <w:b/>
        </w:rPr>
        <w:t xml:space="preserve">SECTION </w:t>
      </w:r>
      <w:r w:rsidR="00094D1E" w:rsidRPr="001B5178">
        <w:rPr>
          <w:b/>
        </w:rPr>
        <w:t>34</w:t>
      </w:r>
      <w:r w:rsidRPr="001B5178">
        <w:rPr>
          <w:b/>
        </w:rPr>
        <w:noBreakHyphen/>
      </w:r>
      <w:r w:rsidR="00094D1E" w:rsidRPr="001B5178">
        <w:rPr>
          <w:b/>
        </w:rPr>
        <w:t>6</w:t>
      </w:r>
      <w:r w:rsidRPr="001B5178">
        <w:rPr>
          <w:b/>
        </w:rPr>
        <w:noBreakHyphen/>
      </w:r>
      <w:r w:rsidR="00094D1E" w:rsidRPr="001B5178">
        <w:rPr>
          <w:b/>
        </w:rPr>
        <w:t>100.</w:t>
      </w:r>
      <w:r w:rsidR="00094D1E" w:rsidRPr="001B5178">
        <w:t xml:space="preserve"> Uniformity of application and construction.</w:t>
      </w:r>
    </w:p>
    <w:p w:rsidR="001B5178" w:rsidRDefault="00094D1E"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78">
        <w:tab/>
        <w:t>In applying and construing this uniform act, consideration must be given to the need to promote uniformity of the law with respect to its subject matter among states that enact it.</w:t>
      </w: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78" w:rsidRDefault="001B5178"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4D1E" w:rsidRPr="001B5178">
        <w:t xml:space="preserve">: 2008 Act No. 289, </w:t>
      </w:r>
      <w:r w:rsidRPr="001B5178">
        <w:t xml:space="preserve">Section </w:t>
      </w:r>
      <w:r w:rsidR="00094D1E" w:rsidRPr="001B5178">
        <w:t>1, eff July 1, 2008.</w:t>
      </w:r>
    </w:p>
    <w:p w:rsidR="003C285A" w:rsidRPr="001B5178" w:rsidRDefault="003C285A" w:rsidP="001B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B5178" w:rsidSect="001B51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5178" w:rsidRDefault="001B5178" w:rsidP="001B5178">
      <w:pPr>
        <w:spacing w:after="0" w:line="240" w:lineRule="auto"/>
      </w:pPr>
      <w:r>
        <w:separator/>
      </w:r>
    </w:p>
  </w:endnote>
  <w:endnote w:type="continuationSeparator" w:id="0">
    <w:p w:rsidR="001B5178" w:rsidRDefault="001B5178" w:rsidP="001B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178" w:rsidRPr="001B5178" w:rsidRDefault="001B5178" w:rsidP="001B5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178" w:rsidRPr="001B5178" w:rsidRDefault="001B5178" w:rsidP="001B5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178" w:rsidRPr="001B5178" w:rsidRDefault="001B5178" w:rsidP="001B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5178" w:rsidRDefault="001B5178" w:rsidP="001B5178">
      <w:pPr>
        <w:spacing w:after="0" w:line="240" w:lineRule="auto"/>
      </w:pPr>
      <w:r>
        <w:separator/>
      </w:r>
    </w:p>
  </w:footnote>
  <w:footnote w:type="continuationSeparator" w:id="0">
    <w:p w:rsidR="001B5178" w:rsidRDefault="001B5178" w:rsidP="001B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178" w:rsidRPr="001B5178" w:rsidRDefault="001B5178" w:rsidP="001B5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178" w:rsidRPr="001B5178" w:rsidRDefault="001B5178" w:rsidP="001B5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178" w:rsidRPr="001B5178" w:rsidRDefault="001B5178" w:rsidP="001B5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1E"/>
    <w:rsid w:val="000929E5"/>
    <w:rsid w:val="00094D1E"/>
    <w:rsid w:val="00197975"/>
    <w:rsid w:val="001B5178"/>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0733C-35D4-43F9-ADAA-0DCE8830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94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D1E"/>
    <w:rPr>
      <w:rFonts w:eastAsiaTheme="majorEastAsia" w:cstheme="majorBidi"/>
      <w:color w:val="272727" w:themeColor="text1" w:themeTint="D8"/>
    </w:rPr>
  </w:style>
  <w:style w:type="paragraph" w:styleId="Title">
    <w:name w:val="Title"/>
    <w:basedOn w:val="Normal"/>
    <w:next w:val="Normal"/>
    <w:link w:val="TitleChar"/>
    <w:uiPriority w:val="10"/>
    <w:qFormat/>
    <w:rsid w:val="00094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D1E"/>
    <w:pPr>
      <w:spacing w:before="160"/>
      <w:jc w:val="center"/>
    </w:pPr>
    <w:rPr>
      <w:i/>
      <w:iCs/>
      <w:color w:val="404040" w:themeColor="text1" w:themeTint="BF"/>
    </w:rPr>
  </w:style>
  <w:style w:type="character" w:customStyle="1" w:styleId="QuoteChar">
    <w:name w:val="Quote Char"/>
    <w:basedOn w:val="DefaultParagraphFont"/>
    <w:link w:val="Quote"/>
    <w:uiPriority w:val="29"/>
    <w:rsid w:val="00094D1E"/>
    <w:rPr>
      <w:i/>
      <w:iCs/>
      <w:color w:val="404040" w:themeColor="text1" w:themeTint="BF"/>
    </w:rPr>
  </w:style>
  <w:style w:type="paragraph" w:styleId="ListParagraph">
    <w:name w:val="List Paragraph"/>
    <w:basedOn w:val="Normal"/>
    <w:uiPriority w:val="34"/>
    <w:qFormat/>
    <w:rsid w:val="00094D1E"/>
    <w:pPr>
      <w:ind w:left="720"/>
      <w:contextualSpacing/>
    </w:pPr>
  </w:style>
  <w:style w:type="character" w:styleId="IntenseEmphasis">
    <w:name w:val="Intense Emphasis"/>
    <w:basedOn w:val="DefaultParagraphFont"/>
    <w:uiPriority w:val="21"/>
    <w:qFormat/>
    <w:rsid w:val="00094D1E"/>
    <w:rPr>
      <w:i/>
      <w:iCs/>
      <w:color w:val="0F4761" w:themeColor="accent1" w:themeShade="BF"/>
    </w:rPr>
  </w:style>
  <w:style w:type="paragraph" w:styleId="IntenseQuote">
    <w:name w:val="Intense Quote"/>
    <w:basedOn w:val="Normal"/>
    <w:next w:val="Normal"/>
    <w:link w:val="IntenseQuoteChar"/>
    <w:uiPriority w:val="30"/>
    <w:qFormat/>
    <w:rsid w:val="00094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D1E"/>
    <w:rPr>
      <w:i/>
      <w:iCs/>
      <w:color w:val="0F4761" w:themeColor="accent1" w:themeShade="BF"/>
    </w:rPr>
  </w:style>
  <w:style w:type="character" w:styleId="IntenseReference">
    <w:name w:val="Intense Reference"/>
    <w:basedOn w:val="DefaultParagraphFont"/>
    <w:uiPriority w:val="32"/>
    <w:qFormat/>
    <w:rsid w:val="00094D1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9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4D1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B5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78"/>
    <w:rPr>
      <w:rFonts w:ascii="Times New Roman" w:hAnsi="Times New Roman" w:cs="Times New Roman"/>
      <w:kern w:val="0"/>
      <w14:ligatures w14:val="none"/>
    </w:rPr>
  </w:style>
  <w:style w:type="paragraph" w:styleId="Footer">
    <w:name w:val="footer"/>
    <w:basedOn w:val="Normal"/>
    <w:link w:val="FooterChar"/>
    <w:uiPriority w:val="99"/>
    <w:unhideWhenUsed/>
    <w:rsid w:val="001B5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7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2115</Words>
  <Characters>12056</Characters>
  <Application>Microsoft Office Word</Application>
  <DocSecurity>0</DocSecurity>
  <Lines>100</Lines>
  <Paragraphs>28</Paragraphs>
  <ScaleCrop>false</ScaleCrop>
  <Company>Legislative Services Agency</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