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94" w:rsidRPr="00A0435D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0181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OTHER PERSONAL SERVICES             51,000                  45,000                  45,000</w:t>
      </w:r>
    </w:p>
    <w:p w:rsidR="008C3794" w:rsidRPr="00A0435D" w:rsidRDefault="008C3794" w:rsidP="008C37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PERSONAL SERVICE              161,000                 155,000                 155,000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OTHER OPERATING EXPENSES            162,000                 200,000                 200,000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ADMINISTRATION                 323,000                 355,000                 355,000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8C3794" w:rsidRPr="00A0435D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II. EMPLOYEE BENEFITS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C. STATE EMPLOYER CONTRIBUTIONS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EMPLOYER CONTRIBUTIONS              50,500                  52,650                  52,650</w:t>
      </w:r>
    </w:p>
    <w:p w:rsidR="008C3794" w:rsidRPr="00A0435D" w:rsidRDefault="008C3794" w:rsidP="008C37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FRINGE BENEFITS                50,500                  52,650                  52,650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EMPLOYEE BENEFITS               50,500                  52,650                  52,650</w:t>
      </w:r>
    </w:p>
    <w:p w:rsidR="008C3794" w:rsidRPr="00A0435D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JOBS-ECONOMIC DEVELOPMENT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AUTHORITY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FUNDS AVAILABLE                373,500                 407,650                 407,650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8C3794" w:rsidRPr="00A0435D" w:rsidRDefault="008C3794" w:rsidP="008C379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3794" w:rsidRDefault="008C3794" w:rsidP="008C3794">
      <w:pPr>
        <w:spacing w:line="170" w:lineRule="exact"/>
        <w:rPr>
          <w:rFonts w:ascii="Letter Gothic" w:hAnsi="Letter Gothic"/>
          <w:sz w:val="18"/>
        </w:rPr>
      </w:pPr>
    </w:p>
    <w:p w:rsidR="001F4392" w:rsidRPr="008C3794" w:rsidRDefault="001F4392" w:rsidP="008C379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C3794" w:rsidSect="008C379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76F278-D3FD-429F-84F4-3A68F326DA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33B6F4-3627-4A1F-B3C5-8E705FEA39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6641F5-6878-433F-826B-89C8E1782C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9B0088-2E5D-496A-9D06-F1E402AC13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3A03D0-7F44-41E1-826A-56F0482E2E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3794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C3794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