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89" w:rsidRDefault="003A7534">
      <w:pPr>
        <w:widowControl w:val="0"/>
        <w:jc w:val="center"/>
        <w:rPr>
          <w:rFonts w:cs="Times New Roman"/>
        </w:rPr>
      </w:pPr>
      <w:bookmarkStart w:id="0" w:name="_GoBack"/>
      <w:bookmarkEnd w:id="0"/>
      <w:r>
        <w:rPr>
          <w:rFonts w:cs="Times New Roman"/>
          <w:b/>
        </w:rPr>
        <w:t>South Carolina General Assembly</w:t>
      </w:r>
    </w:p>
    <w:p w:rsidR="004C6C89" w:rsidRDefault="003A7534">
      <w:pPr>
        <w:widowControl w:val="0"/>
        <w:jc w:val="center"/>
        <w:rPr>
          <w:rFonts w:cs="Times New Roman"/>
        </w:rPr>
      </w:pPr>
      <w:r>
        <w:rPr>
          <w:rFonts w:cs="Times New Roman"/>
        </w:rPr>
        <w:t>118th Session, 2009-2010</w:t>
      </w:r>
    </w:p>
    <w:p w:rsidR="004C6C89" w:rsidRDefault="004C6C89">
      <w:pPr>
        <w:widowControl w:val="0"/>
        <w:jc w:val="left"/>
        <w:rPr>
          <w:rFonts w:cs="Times New Roman"/>
        </w:rPr>
      </w:pPr>
    </w:p>
    <w:p w:rsidR="004C6C89" w:rsidRDefault="003A7534">
      <w:pPr>
        <w:widowControl w:val="0"/>
        <w:jc w:val="left"/>
        <w:rPr>
          <w:rFonts w:cs="Times New Roman"/>
          <w:b/>
        </w:rPr>
      </w:pPr>
      <w:r>
        <w:rPr>
          <w:rFonts w:cs="Times New Roman"/>
          <w:b/>
        </w:rPr>
        <w:t>S. 142</w:t>
      </w:r>
    </w:p>
    <w:p w:rsidR="004C6C89" w:rsidRDefault="004C6C89">
      <w:pPr>
        <w:widowControl w:val="0"/>
        <w:jc w:val="left"/>
        <w:rPr>
          <w:rFonts w:cs="Times New Roman"/>
          <w:b/>
        </w:rPr>
      </w:pPr>
    </w:p>
    <w:p w:rsidR="004C6C89" w:rsidRDefault="003A7534">
      <w:pPr>
        <w:widowControl w:val="0"/>
        <w:jc w:val="left"/>
        <w:rPr>
          <w:rFonts w:cs="Times New Roman"/>
        </w:rPr>
      </w:pPr>
      <w:r>
        <w:rPr>
          <w:rFonts w:cs="Times New Roman"/>
          <w:b/>
        </w:rPr>
        <w:t>STATUS INFORMATION</w:t>
      </w:r>
    </w:p>
    <w:p w:rsidR="004C6C89" w:rsidRDefault="004C6C89">
      <w:pPr>
        <w:widowControl w:val="0"/>
        <w:jc w:val="left"/>
        <w:rPr>
          <w:rFonts w:cs="Times New Roman"/>
        </w:rPr>
      </w:pPr>
    </w:p>
    <w:p w:rsidR="004C6C89" w:rsidRDefault="003A7534">
      <w:pPr>
        <w:widowControl w:val="0"/>
        <w:jc w:val="left"/>
        <w:rPr>
          <w:rFonts w:cs="Times New Roman"/>
        </w:rPr>
      </w:pPr>
      <w:r>
        <w:rPr>
          <w:rFonts w:cs="Times New Roman"/>
        </w:rPr>
        <w:t>General Bill</w:t>
      </w:r>
    </w:p>
    <w:p w:rsidR="004C6C89" w:rsidRDefault="003A7534">
      <w:pPr>
        <w:widowControl w:val="0"/>
        <w:jc w:val="left"/>
        <w:rPr>
          <w:rFonts w:cs="Times New Roman"/>
        </w:rPr>
      </w:pPr>
      <w:r>
        <w:rPr>
          <w:rFonts w:cs="Times New Roman"/>
        </w:rPr>
        <w:t>Sponsors: Senators Lourie, Leventis and Elliott</w:t>
      </w:r>
    </w:p>
    <w:p w:rsidR="004C6C89" w:rsidRDefault="003A7534">
      <w:pPr>
        <w:widowControl w:val="0"/>
        <w:jc w:val="left"/>
        <w:rPr>
          <w:rFonts w:cs="Times New Roman"/>
        </w:rPr>
      </w:pPr>
      <w:r>
        <w:rPr>
          <w:rFonts w:cs="Times New Roman"/>
        </w:rPr>
        <w:t>Document Path: l:\s-resmin\drafting\jl\001abse.tcm.jl.docx</w:t>
      </w:r>
    </w:p>
    <w:p w:rsidR="004C6C89" w:rsidRDefault="003A7534">
      <w:pPr>
        <w:widowControl w:val="0"/>
        <w:jc w:val="left"/>
        <w:rPr>
          <w:rFonts w:cs="Times New Roman"/>
        </w:rPr>
      </w:pPr>
      <w:r>
        <w:rPr>
          <w:rFonts w:cs="Times New Roman"/>
        </w:rPr>
        <w:t>Companion/Similar bill(s): 354</w:t>
      </w:r>
    </w:p>
    <w:p w:rsidR="004C6C89" w:rsidRDefault="004C6C89">
      <w:pPr>
        <w:widowControl w:val="0"/>
        <w:jc w:val="left"/>
        <w:rPr>
          <w:rFonts w:cs="Times New Roman"/>
        </w:rPr>
      </w:pPr>
    </w:p>
    <w:p w:rsidR="004C6C89" w:rsidRDefault="003A7534">
      <w:pPr>
        <w:widowControl w:val="0"/>
        <w:jc w:val="left"/>
        <w:rPr>
          <w:rFonts w:cs="Times New Roman"/>
        </w:rPr>
      </w:pPr>
      <w:r>
        <w:rPr>
          <w:rFonts w:cs="Times New Roman"/>
        </w:rPr>
        <w:t>Introduced in the Senate on January 13, 2009</w:t>
      </w:r>
    </w:p>
    <w:p w:rsidR="004C6C89" w:rsidRDefault="003A7534">
      <w:pPr>
        <w:widowControl w:val="0"/>
        <w:jc w:val="left"/>
        <w:rPr>
          <w:rFonts w:cs="Times New Roman"/>
        </w:rPr>
      </w:pPr>
      <w:r>
        <w:rPr>
          <w:rFonts w:cs="Times New Roman"/>
        </w:rPr>
        <w:t xml:space="preserve">Currently residing in the Senate Committee on </w:t>
      </w:r>
      <w:r>
        <w:rPr>
          <w:rFonts w:cs="Times New Roman"/>
          <w:b/>
        </w:rPr>
        <w:t>Judiciary</w:t>
      </w:r>
    </w:p>
    <w:p w:rsidR="004C6C89" w:rsidRDefault="004C6C89">
      <w:pPr>
        <w:widowControl w:val="0"/>
        <w:jc w:val="left"/>
        <w:rPr>
          <w:rFonts w:cs="Times New Roman"/>
        </w:rPr>
      </w:pPr>
    </w:p>
    <w:p w:rsidR="004C6C89" w:rsidRDefault="003A7534">
      <w:pPr>
        <w:widowControl w:val="0"/>
        <w:jc w:val="left"/>
        <w:rPr>
          <w:rFonts w:cs="Times New Roman"/>
        </w:rPr>
      </w:pPr>
      <w:r>
        <w:rPr>
          <w:rFonts w:cs="Times New Roman"/>
        </w:rPr>
        <w:t>Summary: Absentee ballots</w:t>
      </w:r>
    </w:p>
    <w:p w:rsidR="004C6C89" w:rsidRDefault="004C6C89">
      <w:pPr>
        <w:widowControl w:val="0"/>
        <w:jc w:val="left"/>
        <w:rPr>
          <w:rFonts w:cs="Times New Roman"/>
        </w:rPr>
      </w:pPr>
    </w:p>
    <w:p w:rsidR="004C6C89" w:rsidRDefault="004C6C89">
      <w:pPr>
        <w:widowControl w:val="0"/>
        <w:jc w:val="left"/>
        <w:rPr>
          <w:rFonts w:cs="Times New Roman"/>
        </w:rPr>
      </w:pPr>
    </w:p>
    <w:p w:rsidR="004C6C89" w:rsidRDefault="003A753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C6C89" w:rsidRDefault="004C6C89">
      <w:pPr>
        <w:widowControl w:val="0"/>
        <w:tabs>
          <w:tab w:val="center" w:pos="590"/>
          <w:tab w:val="center" w:pos="1440"/>
          <w:tab w:val="left" w:pos="1872"/>
          <w:tab w:val="left" w:pos="9187"/>
        </w:tabs>
        <w:jc w:val="left"/>
        <w:rPr>
          <w:rFonts w:cs="Times New Roman"/>
        </w:rPr>
      </w:pPr>
    </w:p>
    <w:p w:rsidR="004C6C89" w:rsidRDefault="003A753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C6C89" w:rsidRDefault="003A75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C6C89" w:rsidRDefault="003A75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4C6C89" w:rsidRDefault="003A75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C5BC5">
          <w:rPr>
            <w:rStyle w:val="Hyperlink"/>
            <w:rFonts w:cs="Times New Roman"/>
          </w:rPr>
          <w:t>SJ</w:t>
        </w:r>
      </w:hyperlink>
      <w:r>
        <w:rPr>
          <w:rFonts w:cs="Times New Roman"/>
        </w:rPr>
        <w:noBreakHyphen/>
        <w:t>139</w:t>
      </w:r>
    </w:p>
    <w:p w:rsidR="004C6C89" w:rsidRDefault="003A75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C5BC5">
          <w:rPr>
            <w:rStyle w:val="Hyperlink"/>
            <w:rFonts w:cs="Times New Roman"/>
          </w:rPr>
          <w:t>SJ</w:t>
        </w:r>
      </w:hyperlink>
      <w:r>
        <w:rPr>
          <w:rFonts w:cs="Times New Roman"/>
        </w:rPr>
        <w:noBreakHyphen/>
        <w:t>139</w:t>
      </w:r>
    </w:p>
    <w:p w:rsidR="004C6C89" w:rsidRDefault="003A7534">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4C6C89" w:rsidRDefault="004C6C89">
      <w:pPr>
        <w:widowControl w:val="0"/>
        <w:tabs>
          <w:tab w:val="right" w:pos="1008"/>
          <w:tab w:val="left" w:pos="1152"/>
          <w:tab w:val="left" w:pos="1872"/>
          <w:tab w:val="left" w:pos="9187"/>
        </w:tabs>
        <w:ind w:left="2088" w:hanging="2088"/>
        <w:jc w:val="left"/>
        <w:rPr>
          <w:rFonts w:cs="Times New Roman"/>
        </w:rPr>
      </w:pPr>
    </w:p>
    <w:p w:rsidR="004C6C89" w:rsidRDefault="004C6C89">
      <w:pPr>
        <w:widowControl w:val="0"/>
        <w:tabs>
          <w:tab w:val="right" w:pos="1008"/>
          <w:tab w:val="left" w:pos="1152"/>
          <w:tab w:val="left" w:pos="1872"/>
          <w:tab w:val="left" w:pos="9187"/>
        </w:tabs>
        <w:ind w:left="2088" w:hanging="2088"/>
        <w:jc w:val="left"/>
        <w:rPr>
          <w:rFonts w:cs="Times New Roman"/>
        </w:rPr>
      </w:pPr>
    </w:p>
    <w:p w:rsidR="004C6C89" w:rsidRDefault="003A7534">
      <w:pPr>
        <w:widowControl w:val="0"/>
        <w:jc w:val="left"/>
        <w:rPr>
          <w:rFonts w:cs="Times New Roman"/>
        </w:rPr>
      </w:pPr>
      <w:r>
        <w:rPr>
          <w:rFonts w:cs="Times New Roman"/>
          <w:b/>
        </w:rPr>
        <w:t>VERSIONS OF THIS BILL</w:t>
      </w:r>
    </w:p>
    <w:p w:rsidR="004C6C89" w:rsidRDefault="004C6C89">
      <w:pPr>
        <w:widowControl w:val="0"/>
        <w:jc w:val="left"/>
        <w:rPr>
          <w:rFonts w:cs="Times New Roman"/>
        </w:rPr>
      </w:pPr>
    </w:p>
    <w:p w:rsidR="004C6C89" w:rsidRDefault="00F62048">
      <w:pPr>
        <w:widowControl w:val="0"/>
        <w:jc w:val="left"/>
        <w:rPr>
          <w:rFonts w:cs="Times New Roman"/>
        </w:rPr>
      </w:pPr>
      <w:hyperlink r:id="rId8" w:history="1">
        <w:r w:rsidR="003A7534">
          <w:rPr>
            <w:rStyle w:val="Hyperlink"/>
            <w:rFonts w:cs="Times New Roman"/>
          </w:rPr>
          <w:t>12/10/2008</w:t>
        </w:r>
      </w:hyperlink>
    </w:p>
    <w:p w:rsidR="004C6C89" w:rsidRDefault="004C6C89"/>
    <w:p w:rsidR="004C6C89" w:rsidRDefault="004C6C89">
      <w:pPr>
        <w:sectPr w:rsidR="004C6C89">
          <w:pgSz w:w="12240" w:h="15840" w:code="1"/>
          <w:pgMar w:top="1080" w:right="1440" w:bottom="1080" w:left="1440" w:header="720" w:footer="720" w:gutter="0"/>
          <w:cols w:space="720"/>
          <w:noEndnote/>
          <w:docGrid w:linePitch="360"/>
        </w:sect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titletop"/>
      <w:bookmarkEnd w:id="3"/>
      <w:r>
        <w:rPr>
          <w:rFonts w:eastAsia="Times New Roman" w:cs="Times New Roman"/>
          <w:szCs w:val="20"/>
        </w:rPr>
        <w:t>TO AMEND SECTION 7</w:t>
      </w:r>
      <w:r>
        <w:rPr>
          <w:rFonts w:eastAsia="Times New Roman" w:cs="Times New Roman"/>
          <w:szCs w:val="20"/>
        </w:rPr>
        <w:noBreakHyphen/>
        <w:t>15</w:t>
      </w:r>
      <w:r>
        <w:rPr>
          <w:rFonts w:eastAsia="Times New Roman" w:cs="Times New Roman"/>
          <w:szCs w:val="20"/>
        </w:rPr>
        <w:noBreakHyphen/>
        <w:t>320, CODE OF LAWS OF SOUTH CAROLINA, 1976, RELATING TO PERSONS QUALIFIED TO VOTE BY ABSENTEE BALLOT, TO ALLOW ANY PERSON QUALIFIED TO VOTE IN SOUTH CAROLINA TO VOTE BY AN ABSENTEE BALLOT; TO AMEND SECTION 7</w:t>
      </w:r>
      <w:r>
        <w:rPr>
          <w:rFonts w:eastAsia="Times New Roman" w:cs="Times New Roman"/>
          <w:szCs w:val="20"/>
        </w:rPr>
        <w:noBreakHyphen/>
        <w:t>15</w:t>
      </w:r>
      <w:r>
        <w:rPr>
          <w:rFonts w:eastAsia="Times New Roman" w:cs="Times New Roman"/>
          <w:szCs w:val="20"/>
        </w:rPr>
        <w:noBreakHyphen/>
        <w:t>330, RELATING TO THE APPLICATION FOR AN ABSENTEE BALLOT, TO REMOVE ALL MENTION OF QUALIFICATIONS TO VOTE ABSENTEE; TO AMEND SECTION 7</w:t>
      </w:r>
      <w:r>
        <w:rPr>
          <w:rFonts w:eastAsia="Times New Roman" w:cs="Times New Roman"/>
          <w:szCs w:val="20"/>
        </w:rPr>
        <w:noBreakHyphen/>
        <w:t>15</w:t>
      </w:r>
      <w:r>
        <w:rPr>
          <w:rFonts w:eastAsia="Times New Roman" w:cs="Times New Roman"/>
          <w:szCs w:val="20"/>
        </w:rPr>
        <w:noBreakHyphen/>
        <w:t>340, RELATING TO THE FORM OF THE APPLICATION FOR AN ABSENTEE BALLOT, TO REMOVE ALL MENTION OF REASON TO VOTE ABSENTEE; AND TO AMEND SECTION 7</w:t>
      </w:r>
      <w:r>
        <w:rPr>
          <w:rFonts w:eastAsia="Times New Roman" w:cs="Times New Roman"/>
          <w:szCs w:val="20"/>
        </w:rPr>
        <w:noBreakHyphen/>
        <w:t>15</w:t>
      </w:r>
      <w:r>
        <w:rPr>
          <w:rFonts w:eastAsia="Times New Roman" w:cs="Times New Roman"/>
          <w:szCs w:val="20"/>
        </w:rPr>
        <w:noBreakHyphen/>
        <w:t>370, RELATING TO FURNISHING BALLOTS AND ENVELOPES, TO REMOVE ALL MENTION OF QUALIFICATIONS TO RECEIVE AN ABSENTEE BALLOT.</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320 of the 1976 Code is amended to read:</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320.</w:t>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Any</w:t>
      </w:r>
      <w:r>
        <w:rPr>
          <w:rFonts w:eastAsia="Times New Roman" w:cs="Times New Roman"/>
          <w:szCs w:val="20"/>
        </w:rPr>
        <w:t xml:space="preserve"> qualified elector </w:t>
      </w:r>
      <w:r>
        <w:rPr>
          <w:rFonts w:eastAsia="Times New Roman" w:cs="Times New Roman"/>
          <w:strike/>
          <w:szCs w:val="20"/>
        </w:rPr>
        <w:t>in any of the following categories</w:t>
      </w:r>
      <w:r>
        <w:rPr>
          <w:rFonts w:eastAsia="Times New Roman" w:cs="Times New Roman"/>
          <w:szCs w:val="20"/>
        </w:rPr>
        <w:t xml:space="preserve"> must be permitted to vote by absentee ballot in all elections </w:t>
      </w:r>
      <w:r>
        <w:rPr>
          <w:rFonts w:eastAsia="Times New Roman" w:cs="Times New Roman"/>
          <w:strike/>
          <w:szCs w:val="20"/>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cs="Times New Roman"/>
          <w:strike/>
          <w:szCs w:val="20"/>
        </w:rPr>
        <w:noBreakHyphen/>
        <w:t xml:space="preserve">day period before an election, and persons </w:t>
      </w:r>
      <w:r>
        <w:rPr>
          <w:rFonts w:eastAsia="Times New Roman" w:cs="Times New Roman"/>
          <w:strike/>
          <w:szCs w:val="20"/>
        </w:rPr>
        <w:lastRenderedPageBreak/>
        <w:t>whose employment obligations required that they be at their place of employment during the hours that the polls are open and present written certification of that obligation to the county registration board, and persons confined to a jail or pre</w:t>
      </w:r>
      <w:r>
        <w:rPr>
          <w:rFonts w:eastAsia="Times New Roman" w:cs="Times New Roman"/>
          <w:strike/>
          <w:szCs w:val="20"/>
        </w:rPr>
        <w:noBreakHyphen/>
        <w:t xml:space="preserve">trial facility pending disposition of arrest or trial may vote by absentee ballot whether or not absent from their county of residence: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students, their spouses, and dependents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members of the Armed Forces and Merchant Marines of the United States, their spouses, and dependents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persons serving with the American Red Cross or with the United Service Organizations (USO) who are attached to and serving with the Armed Forces of the United States, their spouses, and dependents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persons in employment;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physically disabled persons;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governmental employees, their spouses, and dependents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(7)</w:t>
      </w:r>
      <w:r>
        <w:rPr>
          <w:rFonts w:eastAsia="Times New Roman" w:cs="Times New Roman"/>
          <w:szCs w:val="20"/>
        </w:rPr>
        <w:tab/>
      </w:r>
      <w:r>
        <w:rPr>
          <w:rFonts w:eastAsia="Times New Roman" w:cs="Times New Roman"/>
          <w:strike/>
          <w:szCs w:val="20"/>
        </w:rPr>
        <w:t>electors with a death or funeral in the family within a three</w:t>
      </w:r>
      <w:r>
        <w:rPr>
          <w:rFonts w:eastAsia="Times New Roman" w:cs="Times New Roman"/>
          <w:strike/>
          <w:szCs w:val="20"/>
        </w:rPr>
        <w:noBreakHyphen/>
        <w:t xml:space="preserve">day period before the election;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(8)</w:t>
      </w:r>
      <w:r>
        <w:rPr>
          <w:rFonts w:eastAsia="Times New Roman" w:cs="Times New Roman"/>
          <w:szCs w:val="20"/>
        </w:rPr>
        <w:tab/>
      </w:r>
      <w:r>
        <w:rPr>
          <w:rFonts w:eastAsia="Times New Roman" w:cs="Times New Roman"/>
          <w:strike/>
          <w:szCs w:val="20"/>
        </w:rPr>
        <w:t xml:space="preserve">persons on vacation (who by virtue of vacation plans will be absent from their county of residence on election day);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(9)</w:t>
      </w:r>
      <w:r>
        <w:rPr>
          <w:rFonts w:eastAsia="Times New Roman" w:cs="Times New Roman"/>
          <w:szCs w:val="20"/>
        </w:rPr>
        <w:tab/>
      </w:r>
      <w:r>
        <w:rPr>
          <w:rFonts w:eastAsia="Times New Roman" w:cs="Times New Roman"/>
          <w:strike/>
          <w:szCs w:val="20"/>
        </w:rPr>
        <w:t xml:space="preserve">certified poll watchers, poll managers, county voter registration board members and staff, county election commission members and staff working on election day;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rPr>
        <w:tab/>
      </w:r>
      <w:r>
        <w:rPr>
          <w:rFonts w:eastAsia="Times New Roman" w:cs="Times New Roman"/>
          <w:strike/>
          <w:szCs w:val="20"/>
        </w:rPr>
        <w:t xml:space="preserve">overseas citizens;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rPr>
        <w:tab/>
      </w:r>
      <w:r>
        <w:rPr>
          <w:rFonts w:eastAsia="Times New Roman" w:cs="Times New Roman"/>
          <w:strike/>
          <w:szCs w:val="20"/>
        </w:rPr>
        <w:t xml:space="preserve">persons attending sick or physically disabled persons;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rPr>
        <w:tab/>
      </w:r>
      <w:r>
        <w:rPr>
          <w:rFonts w:eastAsia="Times New Roman" w:cs="Times New Roman"/>
          <w:strike/>
          <w:szCs w:val="20"/>
        </w:rPr>
        <w:t>persons admitted to hospitals as emergency patients on the day of an election or within a four</w:t>
      </w:r>
      <w:r>
        <w:rPr>
          <w:rFonts w:eastAsia="Times New Roman" w:cs="Times New Roman"/>
          <w:strike/>
          <w:szCs w:val="20"/>
        </w:rPr>
        <w:noBreakHyphen/>
        <w:t xml:space="preserve">day period before the election;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rPr>
        <w:tab/>
      </w:r>
      <w:r>
        <w:rPr>
          <w:rFonts w:eastAsia="Times New Roman" w:cs="Times New Roman"/>
          <w:strike/>
          <w:szCs w:val="20"/>
        </w:rPr>
        <w:t xml:space="preserve">persons who will be serving as jurors in a state or federal court on election day;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rPr>
        <w:tab/>
      </w:r>
      <w:r>
        <w:rPr>
          <w:rFonts w:eastAsia="Times New Roman" w:cs="Times New Roman"/>
          <w:strike/>
          <w:szCs w:val="20"/>
        </w:rPr>
        <w:t>persons sixty</w:t>
      </w:r>
      <w:r>
        <w:rPr>
          <w:rFonts w:eastAsia="Times New Roman" w:cs="Times New Roman"/>
          <w:strike/>
          <w:szCs w:val="20"/>
        </w:rPr>
        <w:noBreakHyphen/>
        <w:t xml:space="preserve">five years of age or older;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rPr>
        <w:tab/>
      </w:r>
      <w:r>
        <w:rPr>
          <w:rFonts w:eastAsia="Times New Roman" w:cs="Times New Roman"/>
          <w:strike/>
          <w:szCs w:val="20"/>
        </w:rPr>
        <w:t>persons confined to a jail or pre</w:t>
      </w:r>
      <w:r>
        <w:rPr>
          <w:rFonts w:eastAsia="Times New Roman" w:cs="Times New Roman"/>
          <w:strike/>
          <w:szCs w:val="20"/>
        </w:rPr>
        <w:noBreakHyphen/>
        <w:t>trial facility pending disposition of arrest or trial</w:t>
      </w:r>
      <w:r>
        <w:rPr>
          <w:rFonts w:eastAsia="Times New Roman" w:cs="Times New Roman"/>
          <w:szCs w:val="20"/>
        </w:rPr>
        <w:t>.”</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330 of the 1976 Code is amended to read:</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330.</w:t>
      </w:r>
      <w:r>
        <w:rPr>
          <w:rFonts w:eastAsia="Times New Roman" w:cs="Times New Roman"/>
          <w:szCs w:val="20"/>
        </w:rPr>
        <w:tab/>
      </w:r>
      <w:r>
        <w:rPr>
          <w:rFonts w:eastAsia="Times New Roman" w:cs="Times New Roman"/>
          <w:szCs w:val="20"/>
        </w:rPr>
        <w:tab/>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w:t>
      </w:r>
      <w:r>
        <w:rPr>
          <w:rFonts w:eastAsia="Times New Roman" w:cs="Times New Roman"/>
          <w:strike/>
          <w:szCs w:val="20"/>
        </w:rPr>
        <w:t>absentee pursuant to Section 7</w:t>
      </w:r>
      <w:r>
        <w:rPr>
          <w:rFonts w:eastAsia="Times New Roman" w:cs="Times New Roman"/>
          <w:strike/>
          <w:szCs w:val="20"/>
        </w:rPr>
        <w:noBreakHyphen/>
        <w:t>15</w:t>
      </w:r>
      <w:r>
        <w:rPr>
          <w:rFonts w:eastAsia="Times New Roman" w:cs="Times New Roman"/>
          <w:strike/>
          <w:szCs w:val="20"/>
        </w:rPr>
        <w:noBreakHyphen/>
        <w:t>320</w:t>
      </w:r>
      <w:r>
        <w:rPr>
          <w:rFonts w:eastAsia="Times New Roman" w:cs="Times New Roman"/>
          <w:szCs w:val="20"/>
        </w:rPr>
        <w:t>.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340 of the 1976 Code is amended to read:</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340.</w:t>
      </w:r>
      <w:r>
        <w:rPr>
          <w:rFonts w:eastAsia="Times New Roman" w:cs="Times New Roman"/>
          <w:szCs w:val="20"/>
        </w:rPr>
        <w:tab/>
        <w:t>The application required in Section 7</w:t>
      </w:r>
      <w:r>
        <w:rPr>
          <w:rFonts w:eastAsia="Times New Roman" w:cs="Times New Roman"/>
          <w:szCs w:val="20"/>
        </w:rPr>
        <w:noBreakHyphen/>
        <w:t>15</w:t>
      </w:r>
      <w:r>
        <w:rPr>
          <w:rFonts w:eastAsia="Times New Roman" w:cs="Times New Roman"/>
          <w:szCs w:val="20"/>
        </w:rPr>
        <w:noBreakHyphen/>
        <w:t xml:space="preserve">330 to be submitted to these election officials must be in a form prescribed and distributed by the State Election Commission; except </w:t>
      </w:r>
      <w:r>
        <w:rPr>
          <w:rFonts w:eastAsia="Times New Roman" w:cs="Times New Roman"/>
          <w:strike/>
          <w:szCs w:val="20"/>
        </w:rPr>
        <w:t>that persons listed in Section 7</w:t>
      </w:r>
      <w:r>
        <w:rPr>
          <w:rFonts w:eastAsia="Times New Roman" w:cs="Times New Roman"/>
          <w:strike/>
          <w:szCs w:val="20"/>
        </w:rPr>
        <w:noBreakHyphen/>
        <w:t>15</w:t>
      </w:r>
      <w:r>
        <w:rPr>
          <w:rFonts w:eastAsia="Times New Roman" w:cs="Times New Roman"/>
          <w:strike/>
          <w:szCs w:val="20"/>
        </w:rPr>
        <w:noBreakHyphen/>
        <w:t>320(2), (3), (6), and (10) may use</w:t>
      </w:r>
      <w:r>
        <w:rPr>
          <w:rFonts w:eastAsia="Times New Roman" w:cs="Times New Roman"/>
          <w:szCs w:val="20"/>
        </w:rPr>
        <w:t xml:space="preserve"> Standard Form 76, or any subsequent form replacing it, </w:t>
      </w:r>
      <w:r>
        <w:rPr>
          <w:rFonts w:eastAsia="Times New Roman" w:cs="Times New Roman"/>
          <w:szCs w:val="20"/>
          <w:u w:val="single"/>
        </w:rPr>
        <w:t>may be used if it is</w:t>
      </w:r>
      <w:r>
        <w:rPr>
          <w:rFonts w:eastAsia="Times New Roman" w:cs="Times New Roman"/>
          <w:szCs w:val="20"/>
        </w:rPr>
        <w:t xml:space="preserve"> provided by the federal government as a simultaneous request for registration and an absentee ballot or a request for an absentee ballot if </w:t>
      </w:r>
      <w:r>
        <w:rPr>
          <w:rFonts w:eastAsia="Times New Roman" w:cs="Times New Roman"/>
          <w:szCs w:val="20"/>
          <w:u w:val="single"/>
        </w:rPr>
        <w:t>the qualified elector is</w:t>
      </w:r>
      <w:r>
        <w:rPr>
          <w:rFonts w:eastAsia="Times New Roman" w:cs="Times New Roman"/>
          <w:szCs w:val="20"/>
        </w:rPr>
        <w:t xml:space="preserve"> already registered</w:t>
      </w:r>
      <w:r>
        <w:rPr>
          <w:rFonts w:eastAsia="Times New Roman" w:cs="Times New Roman"/>
          <w:szCs w:val="20"/>
          <w:u w:val="single"/>
        </w:rPr>
        <w:t>, for any of the following persons:</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members of the Armed Forces and Merchant Marines of the United States, their spouses, and dependants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persons serving with the American Red Cross or with the United Service Organizations (USO) who are attached to and serving with the Armed Forces of the United States, their spouses, and dependants residing with them;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governmental employees, their spouses, and dependants residing with them; and</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overseas citizens</w:t>
      </w:r>
      <w:r>
        <w:rPr>
          <w:rFonts w:eastAsia="Times New Roman" w:cs="Times New Roman"/>
          <w:szCs w:val="20"/>
        </w:rPr>
        <w:t>.</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application must contain the following information:  name, registration certificate number, address, absentee address, election of ballot request, election date, runoff preference, party preference, </w:t>
      </w:r>
      <w:r>
        <w:rPr>
          <w:rFonts w:eastAsia="Times New Roman" w:cs="Times New Roman"/>
          <w:strike/>
          <w:szCs w:val="20"/>
        </w:rPr>
        <w:t>reason for request,</w:t>
      </w:r>
      <w:r>
        <w:rPr>
          <w:rFonts w:eastAsia="Times New Roman" w:cs="Times New Roman"/>
          <w:szCs w:val="20"/>
        </w:rPr>
        <w:t xml:space="preserve"> oath of voter, and voter’s signature.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imes New Roman" w:cs="Times New Roman"/>
          <w:strike/>
          <w:szCs w:val="20"/>
        </w:rPr>
        <w:t>for the reason indicated above</w:t>
      </w:r>
      <w:r>
        <w:rPr>
          <w:rFonts w:eastAsia="Times New Roman" w:cs="Times New Roman"/>
          <w:szCs w:val="20"/>
        </w:rPr>
        <w:t>.’  Any person who fraudulently applies for an absentee ballot in violation of this section, upon conviction, must be punished in accordance with Section 7</w:t>
      </w:r>
      <w:r>
        <w:rPr>
          <w:rFonts w:eastAsia="Times New Roman" w:cs="Times New Roman"/>
          <w:szCs w:val="20"/>
        </w:rPr>
        <w:noBreakHyphen/>
        <w:t>25</w:t>
      </w:r>
      <w:r>
        <w:rPr>
          <w:rFonts w:eastAsia="Times New Roman" w:cs="Times New Roman"/>
          <w:szCs w:val="20"/>
        </w:rPr>
        <w:noBreakHyphen/>
        <w:t xml:space="preserve">20.” </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370 of the 1976 Code is amended to read:</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370.</w:t>
      </w:r>
      <w:r>
        <w:rPr>
          <w:rFonts w:eastAsia="Times New Roman" w:cs="Times New Roman"/>
          <w:szCs w:val="20"/>
        </w:rPr>
        <w:tab/>
      </w:r>
      <w:r>
        <w:rPr>
          <w:rFonts w:eastAsia="Times New Roman" w:cs="Times New Roman"/>
          <w:szCs w:val="20"/>
        </w:rPr>
        <w:tab/>
        <w:t xml:space="preserve">Upon receipt of the ballots and envelopes, the county registration board must, as soon as possible, furnish the following items to each person </w:t>
      </w:r>
      <w:r>
        <w:rPr>
          <w:rFonts w:eastAsia="Times New Roman" w:cs="Times New Roman"/>
          <w:strike/>
          <w:szCs w:val="20"/>
        </w:rPr>
        <w:t>qualified to receive an absentee ballot and</w:t>
      </w:r>
      <w:r>
        <w:rPr>
          <w:rFonts w:eastAsia="Times New Roman" w:cs="Times New Roman"/>
          <w:szCs w:val="20"/>
        </w:rPr>
        <w:t xml:space="preserve"> who has validly completed a written application for an absentee ballot: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one of each ballot to be used in the election;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printed instructions as to the marking, folding, and return of each ballot and as to the signing (and return) of the oath;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an envelope marked ‘Ballot Herein’ in which all completed ballots are to be placed;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a return</w:t>
      </w:r>
      <w:r>
        <w:rPr>
          <w:rFonts w:eastAsia="Times New Roman" w:cs="Times New Roman"/>
          <w:szCs w:val="20"/>
        </w:rPr>
        <w:noBreakHyphen/>
        <w:t>addressed envelope imprinted on the back with the oath set forth in Section 7</w:t>
      </w:r>
      <w:r>
        <w:rPr>
          <w:rFonts w:eastAsia="Times New Roman" w:cs="Times New Roman"/>
          <w:szCs w:val="20"/>
        </w:rPr>
        <w:noBreakHyphen/>
        <w:t>15</w:t>
      </w:r>
      <w:r>
        <w:rPr>
          <w:rFonts w:eastAsia="Times New Roman" w:cs="Times New Roman"/>
          <w:szCs w:val="20"/>
        </w:rPr>
        <w:noBreakHyphen/>
        <w:t xml:space="preserve">385 to be used for the return of the unmarked envelope (and enclosed ballots) to the board of registration;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any additional oath, instructions, or information necessary to enable the absentee ballot applicant to execute and return a ballot legally acceptable by the officials charged with conducting the election.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board of registration must record in the record book required by Section 7</w:t>
      </w:r>
      <w:r>
        <w:rPr>
          <w:rFonts w:eastAsia="Times New Roman" w:cs="Times New Roman"/>
          <w:szCs w:val="20"/>
        </w:rPr>
        <w:noBreakHyphen/>
        <w:t>15</w:t>
      </w:r>
      <w:r>
        <w:rPr>
          <w:rFonts w:eastAsia="Times New Roman" w:cs="Times New Roman"/>
          <w:szCs w:val="20"/>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If absentee ballots are not available at the time the voter requests one, the board of registration must provide a blank ballot to allow the voter to write in his:  (1) selections of candidates; (2) selection of party, if he wishes to vote straight party ticket; and (3) support or opposition of any ballot measure.”</w:t>
      </w:r>
    </w:p>
    <w:p w:rsidR="004C6C89" w:rsidRDefault="004C6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4C6C89" w:rsidRDefault="003A7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C6C89" w:rsidSect="004C6C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C89" w:rsidRDefault="003A7534">
      <w:r>
        <w:separator/>
      </w:r>
    </w:p>
  </w:endnote>
  <w:endnote w:type="continuationSeparator" w:id="0">
    <w:p w:rsidR="004C6C89" w:rsidRDefault="003A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813EDF-BDEB-45A8-B4F1-35F13042EF7F}"/>
    <w:embedBold r:id="rId2" w:fontKey="{B14BF897-8C0B-4E37-9879-4493F2EE8677}"/>
  </w:font>
  <w:font w:name="Calibri">
    <w:panose1 w:val="020F0502020204030204"/>
    <w:charset w:val="00"/>
    <w:family w:val="swiss"/>
    <w:pitch w:val="variable"/>
    <w:sig w:usb0="E10002FF" w:usb1="4000ACFF" w:usb2="00000009" w:usb3="00000000" w:csb0="0000019F" w:csb1="00000000"/>
    <w:embedRegular r:id="rId3" w:fontKey="{ED598D0F-71AF-49B9-B2FD-F1A41261ADD7}"/>
    <w:embedBold r:id="rId4" w:fontKey="{1D8CE6E5-FB92-4E7D-B813-9CA60B297FF9}"/>
  </w:font>
  <w:font w:name="Tahoma">
    <w:panose1 w:val="020B0604030504040204"/>
    <w:charset w:val="00"/>
    <w:family w:val="swiss"/>
    <w:pitch w:val="variable"/>
    <w:sig w:usb0="21002A87" w:usb1="80000000" w:usb2="00000008" w:usb3="00000000" w:csb0="000101FF" w:csb1="00000000"/>
    <w:embedRegular r:id="rId5" w:fontKey="{E9375753-69CC-44B0-8864-A4E6D45BAE8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836B336-C0E8-46C2-94B0-B5B924472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C89" w:rsidRDefault="003A7534">
    <w:pPr>
      <w:pStyle w:val="Footer"/>
      <w:tabs>
        <w:tab w:val="clear" w:pos="4680"/>
        <w:tab w:val="clear" w:pos="9360"/>
        <w:tab w:val="center" w:pos="2995"/>
      </w:tabs>
      <w:spacing w:before="120"/>
    </w:pPr>
    <w:r>
      <w:t>[142]</w:t>
    </w:r>
    <w:r>
      <w:tab/>
    </w:r>
    <w:r w:rsidR="00F62048">
      <w:fldChar w:fldCharType="begin"/>
    </w:r>
    <w:r w:rsidR="00F62048">
      <w:instrText xml:space="preserve"> PAGE  \* MERGEFORMAT </w:instrText>
    </w:r>
    <w:r w:rsidR="00F62048">
      <w:fldChar w:fldCharType="separate"/>
    </w:r>
    <w:r w:rsidR="00F62048">
      <w:rPr>
        <w:noProof/>
      </w:rPr>
      <w:t>1</w:t>
    </w:r>
    <w:r w:rsidR="00F620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C89" w:rsidRDefault="003A7534">
      <w:r>
        <w:separator/>
      </w:r>
    </w:p>
  </w:footnote>
  <w:footnote w:type="continuationSeparator" w:id="0">
    <w:p w:rsidR="004C6C89" w:rsidRDefault="003A75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C6C89"/>
    <w:rsid w:val="002D093A"/>
    <w:rsid w:val="003A7534"/>
    <w:rsid w:val="004C6C89"/>
    <w:rsid w:val="006C71F5"/>
    <w:rsid w:val="00756B9D"/>
    <w:rsid w:val="00DC5BC5"/>
    <w:rsid w:val="00F62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E42FFD-61BF-4226-8984-3BF10805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C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C6C89"/>
    <w:rPr>
      <w:szCs w:val="21"/>
    </w:rPr>
  </w:style>
  <w:style w:type="character" w:customStyle="1" w:styleId="PlainTextChar">
    <w:name w:val="Plain Text Char"/>
    <w:basedOn w:val="DefaultParagraphFont"/>
    <w:link w:val="PlainText"/>
    <w:uiPriority w:val="99"/>
    <w:rsid w:val="004C6C89"/>
    <w:rPr>
      <w:szCs w:val="21"/>
    </w:rPr>
  </w:style>
  <w:style w:type="paragraph" w:styleId="BodyText">
    <w:name w:val="Body Text"/>
    <w:basedOn w:val="Normal"/>
    <w:link w:val="BodyTextChar"/>
    <w:uiPriority w:val="99"/>
    <w:locked/>
    <w:rsid w:val="004C6C89"/>
  </w:style>
  <w:style w:type="character" w:customStyle="1" w:styleId="BodyTextChar">
    <w:name w:val="Body Text Char"/>
    <w:basedOn w:val="DefaultParagraphFont"/>
    <w:link w:val="BodyText"/>
    <w:uiPriority w:val="99"/>
    <w:rsid w:val="004C6C89"/>
  </w:style>
  <w:style w:type="paragraph" w:styleId="BalloonText">
    <w:name w:val="Balloon Text"/>
    <w:next w:val="Normal"/>
    <w:link w:val="BalloonTextChar"/>
    <w:uiPriority w:val="99"/>
    <w:unhideWhenUsed/>
    <w:rsid w:val="004C6C89"/>
    <w:rPr>
      <w:rFonts w:cs="Tahoma"/>
      <w:szCs w:val="16"/>
    </w:rPr>
  </w:style>
  <w:style w:type="character" w:customStyle="1" w:styleId="BalloonTextChar">
    <w:name w:val="Balloon Text Char"/>
    <w:basedOn w:val="DefaultParagraphFont"/>
    <w:link w:val="BalloonText"/>
    <w:uiPriority w:val="99"/>
    <w:rsid w:val="004C6C89"/>
    <w:rPr>
      <w:rFonts w:cs="Tahoma"/>
      <w:szCs w:val="16"/>
    </w:rPr>
  </w:style>
  <w:style w:type="paragraph" w:styleId="NormalWeb">
    <w:name w:val="Normal (Web)"/>
    <w:basedOn w:val="Normal"/>
    <w:next w:val="Normal"/>
    <w:semiHidden/>
    <w:locked/>
    <w:rsid w:val="004C6C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C6C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C6C89"/>
    <w:rPr>
      <w:rFonts w:cs="Times New Roman"/>
    </w:rPr>
  </w:style>
  <w:style w:type="paragraph" w:styleId="Header">
    <w:name w:val="header"/>
    <w:basedOn w:val="Normal"/>
    <w:link w:val="HeaderChar"/>
    <w:uiPriority w:val="99"/>
    <w:semiHidden/>
    <w:unhideWhenUsed/>
    <w:locked/>
    <w:rsid w:val="004C6C89"/>
    <w:pPr>
      <w:tabs>
        <w:tab w:val="center" w:pos="4680"/>
        <w:tab w:val="right" w:pos="9360"/>
      </w:tabs>
    </w:pPr>
  </w:style>
  <w:style w:type="character" w:customStyle="1" w:styleId="HeaderChar">
    <w:name w:val="Header Char"/>
    <w:basedOn w:val="DefaultParagraphFont"/>
    <w:link w:val="Header"/>
    <w:uiPriority w:val="99"/>
    <w:semiHidden/>
    <w:rsid w:val="004C6C89"/>
  </w:style>
  <w:style w:type="character" w:styleId="LineNumber">
    <w:name w:val="line number"/>
    <w:basedOn w:val="DefaultParagraphFont"/>
    <w:uiPriority w:val="99"/>
    <w:semiHidden/>
    <w:unhideWhenUsed/>
    <w:locked/>
    <w:rsid w:val="004C6C89"/>
  </w:style>
  <w:style w:type="character" w:styleId="Hyperlink">
    <w:name w:val="Hyperlink"/>
    <w:basedOn w:val="DefaultParagraphFont"/>
    <w:uiPriority w:val="99"/>
    <w:unhideWhenUsed/>
    <w:locked/>
    <w:rsid w:val="004C6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1710</Words>
  <Characters>8863</Characters>
  <Application>Microsoft Office Word</Application>
  <DocSecurity>0</DocSecurity>
  <Lines>228</Lines>
  <Paragraphs>61</Paragraphs>
  <ScaleCrop>false</ScaleCrop>
  <Company>Project Management</Company>
  <LinksUpToDate>false</LinksUpToDate>
  <CharactersWithSpaces>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 Absentee ballots - South Carolina Legislature Online</dc:title>
  <dc:subject/>
  <dc:creator>NSC</dc:creator>
  <cp:keywords/>
  <dc:description/>
  <cp:lastModifiedBy>N Cumfer</cp:lastModifiedBy>
  <cp:revision>15</cp:revision>
  <dcterms:created xsi:type="dcterms:W3CDTF">2008-12-10T20:42:00Z</dcterms:created>
  <dcterms:modified xsi:type="dcterms:W3CDTF">2014-11-24T14:54:00Z</dcterms:modified>
</cp:coreProperties>
</file>