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1D2" w:rsidRDefault="00AC5512">
      <w:pPr>
        <w:widowControl w:val="0"/>
        <w:jc w:val="center"/>
      </w:pPr>
      <w:bookmarkStart w:id="0" w:name="_GoBack"/>
      <w:bookmarkEnd w:id="0"/>
      <w:r>
        <w:rPr>
          <w:b/>
        </w:rPr>
        <w:t>South Carolina General Assembly</w:t>
      </w:r>
    </w:p>
    <w:p w:rsidR="00D641D2" w:rsidRDefault="00AC5512">
      <w:pPr>
        <w:widowControl w:val="0"/>
        <w:jc w:val="center"/>
      </w:pPr>
      <w:r>
        <w:t>118th Session, 2009-2010</w:t>
      </w:r>
    </w:p>
    <w:p w:rsidR="00D641D2" w:rsidRDefault="00D641D2">
      <w:pPr>
        <w:widowControl w:val="0"/>
        <w:jc w:val="left"/>
      </w:pPr>
    </w:p>
    <w:p w:rsidR="00D641D2" w:rsidRDefault="00AC5512">
      <w:pPr>
        <w:widowControl w:val="0"/>
        <w:jc w:val="left"/>
        <w:rPr>
          <w:b/>
        </w:rPr>
      </w:pPr>
      <w:r>
        <w:rPr>
          <w:b/>
        </w:rPr>
        <w:t>H. 3182</w:t>
      </w:r>
    </w:p>
    <w:p w:rsidR="00D641D2" w:rsidRDefault="00D641D2">
      <w:pPr>
        <w:widowControl w:val="0"/>
        <w:jc w:val="left"/>
        <w:rPr>
          <w:b/>
        </w:rPr>
      </w:pPr>
    </w:p>
    <w:p w:rsidR="00D641D2" w:rsidRDefault="00AC5512">
      <w:pPr>
        <w:widowControl w:val="0"/>
        <w:jc w:val="left"/>
      </w:pPr>
      <w:r>
        <w:rPr>
          <w:b/>
        </w:rPr>
        <w:t>STATUS INFORMATION</w:t>
      </w:r>
    </w:p>
    <w:p w:rsidR="00D641D2" w:rsidRDefault="00D641D2">
      <w:pPr>
        <w:widowControl w:val="0"/>
        <w:jc w:val="left"/>
      </w:pPr>
    </w:p>
    <w:p w:rsidR="00D641D2" w:rsidRDefault="00AC5512">
      <w:pPr>
        <w:widowControl w:val="0"/>
        <w:jc w:val="left"/>
      </w:pPr>
      <w:r>
        <w:t>General Bill</w:t>
      </w:r>
    </w:p>
    <w:p w:rsidR="00D641D2" w:rsidRDefault="00AC5512">
      <w:pPr>
        <w:widowControl w:val="0"/>
        <w:jc w:val="left"/>
      </w:pPr>
      <w:r>
        <w:t>Sponsors: Rep. J.R. Smith</w:t>
      </w:r>
    </w:p>
    <w:p w:rsidR="00D641D2" w:rsidRDefault="00AC5512">
      <w:pPr>
        <w:widowControl w:val="0"/>
        <w:jc w:val="left"/>
      </w:pPr>
      <w:r>
        <w:t>Document Path: l:\council\bills\ggs\22143ab09.doc</w:t>
      </w:r>
    </w:p>
    <w:p w:rsidR="00D641D2" w:rsidRDefault="00D641D2">
      <w:pPr>
        <w:widowControl w:val="0"/>
        <w:jc w:val="left"/>
      </w:pPr>
    </w:p>
    <w:p w:rsidR="00D641D2" w:rsidRDefault="00AC5512">
      <w:pPr>
        <w:widowControl w:val="0"/>
        <w:jc w:val="left"/>
      </w:pPr>
      <w:r>
        <w:t>Introduced in the House on January 13, 2009</w:t>
      </w:r>
    </w:p>
    <w:p w:rsidR="00D641D2" w:rsidRDefault="00AC5512">
      <w:pPr>
        <w:widowControl w:val="0"/>
        <w:jc w:val="left"/>
      </w:pPr>
      <w:r>
        <w:t xml:space="preserve">Currently residing in the House Committee on </w:t>
      </w:r>
      <w:r>
        <w:rPr>
          <w:b/>
        </w:rPr>
        <w:t>Judiciary</w:t>
      </w:r>
    </w:p>
    <w:p w:rsidR="00D641D2" w:rsidRDefault="00D641D2">
      <w:pPr>
        <w:widowControl w:val="0"/>
        <w:jc w:val="left"/>
      </w:pPr>
    </w:p>
    <w:p w:rsidR="00D641D2" w:rsidRDefault="00AC5512">
      <w:pPr>
        <w:widowControl w:val="0"/>
        <w:jc w:val="left"/>
      </w:pPr>
      <w:r>
        <w:t>Summary: Guardian ad litem fee</w:t>
      </w:r>
    </w:p>
    <w:p w:rsidR="00D641D2" w:rsidRDefault="00D641D2">
      <w:pPr>
        <w:widowControl w:val="0"/>
        <w:jc w:val="left"/>
      </w:pPr>
    </w:p>
    <w:p w:rsidR="00D641D2" w:rsidRDefault="00D641D2">
      <w:pPr>
        <w:widowControl w:val="0"/>
        <w:jc w:val="left"/>
      </w:pPr>
    </w:p>
    <w:p w:rsidR="00D641D2" w:rsidRDefault="00AC5512">
      <w:pPr>
        <w:widowControl w:val="0"/>
        <w:tabs>
          <w:tab w:val="center" w:pos="590"/>
          <w:tab w:val="center" w:pos="1440"/>
          <w:tab w:val="left" w:pos="1872"/>
          <w:tab w:val="left" w:pos="9187"/>
        </w:tabs>
        <w:jc w:val="left"/>
      </w:pPr>
      <w:r>
        <w:rPr>
          <w:b/>
        </w:rPr>
        <w:t>HISTORY OF LEGISLATIVE ACTIONS</w:t>
      </w:r>
    </w:p>
    <w:p w:rsidR="00D641D2" w:rsidRDefault="00D641D2">
      <w:pPr>
        <w:widowControl w:val="0"/>
        <w:tabs>
          <w:tab w:val="center" w:pos="590"/>
          <w:tab w:val="center" w:pos="1440"/>
          <w:tab w:val="left" w:pos="1872"/>
          <w:tab w:val="left" w:pos="9187"/>
        </w:tabs>
        <w:jc w:val="left"/>
      </w:pPr>
    </w:p>
    <w:p w:rsidR="00D641D2" w:rsidRDefault="00AC551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641D2" w:rsidRDefault="00AC5512">
      <w:pPr>
        <w:widowControl w:val="0"/>
        <w:tabs>
          <w:tab w:val="right" w:pos="1008"/>
          <w:tab w:val="left" w:pos="1152"/>
          <w:tab w:val="left" w:pos="1872"/>
          <w:tab w:val="left" w:pos="9187"/>
        </w:tabs>
        <w:ind w:left="2088" w:hanging="2088"/>
        <w:jc w:val="left"/>
      </w:pPr>
      <w:r>
        <w:tab/>
        <w:t>12/16/2008</w:t>
      </w:r>
      <w:r>
        <w:tab/>
        <w:t>House</w:t>
      </w:r>
      <w:r>
        <w:tab/>
        <w:t>Prefiled</w:t>
      </w:r>
    </w:p>
    <w:p w:rsidR="00D641D2" w:rsidRDefault="00AC5512">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Judiciary</w:t>
      </w:r>
    </w:p>
    <w:p w:rsidR="00D641D2" w:rsidRDefault="00AC5512">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6" w:history="1">
        <w:r w:rsidRPr="00F72D5A">
          <w:rPr>
            <w:rStyle w:val="Hyperlink"/>
          </w:rPr>
          <w:t>HJ</w:t>
        </w:r>
      </w:hyperlink>
      <w:r>
        <w:noBreakHyphen/>
        <w:t>81</w:t>
      </w:r>
    </w:p>
    <w:p w:rsidR="00D641D2" w:rsidRDefault="00AC5512">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7" w:history="1">
        <w:r w:rsidRPr="00F72D5A">
          <w:rPr>
            <w:rStyle w:val="Hyperlink"/>
          </w:rPr>
          <w:t>HJ</w:t>
        </w:r>
      </w:hyperlink>
      <w:r>
        <w:noBreakHyphen/>
        <w:t>81</w:t>
      </w:r>
    </w:p>
    <w:p w:rsidR="00D641D2" w:rsidRDefault="00D641D2">
      <w:pPr>
        <w:widowControl w:val="0"/>
        <w:tabs>
          <w:tab w:val="right" w:pos="1008"/>
          <w:tab w:val="left" w:pos="1152"/>
          <w:tab w:val="left" w:pos="1872"/>
          <w:tab w:val="left" w:pos="9187"/>
        </w:tabs>
        <w:ind w:left="2088" w:hanging="2088"/>
        <w:jc w:val="left"/>
      </w:pPr>
    </w:p>
    <w:p w:rsidR="00D641D2" w:rsidRDefault="00D641D2">
      <w:pPr>
        <w:widowControl w:val="0"/>
        <w:tabs>
          <w:tab w:val="right" w:pos="1008"/>
          <w:tab w:val="left" w:pos="1152"/>
          <w:tab w:val="left" w:pos="1872"/>
          <w:tab w:val="left" w:pos="9187"/>
        </w:tabs>
        <w:ind w:left="2088" w:hanging="2088"/>
        <w:jc w:val="left"/>
      </w:pPr>
    </w:p>
    <w:p w:rsidR="00D641D2" w:rsidRDefault="00AC5512">
      <w:pPr>
        <w:widowControl w:val="0"/>
        <w:jc w:val="left"/>
      </w:pPr>
      <w:r>
        <w:rPr>
          <w:b/>
        </w:rPr>
        <w:t>VERSIONS OF THIS BILL</w:t>
      </w:r>
    </w:p>
    <w:p w:rsidR="00D641D2" w:rsidRDefault="00D641D2">
      <w:pPr>
        <w:widowControl w:val="0"/>
        <w:jc w:val="left"/>
      </w:pPr>
    </w:p>
    <w:p w:rsidR="00D641D2" w:rsidRDefault="00446F1B">
      <w:pPr>
        <w:widowControl w:val="0"/>
        <w:jc w:val="left"/>
      </w:pPr>
      <w:hyperlink r:id="rId8" w:history="1">
        <w:r w:rsidR="00AC5512">
          <w:rPr>
            <w:rStyle w:val="Hyperlink"/>
          </w:rPr>
          <w:t>12/16/2008</w:t>
        </w:r>
      </w:hyperlink>
    </w:p>
    <w:p w:rsidR="00D641D2" w:rsidRDefault="00D641D2"/>
    <w:p w:rsidR="00D641D2" w:rsidRDefault="00D641D2">
      <w:pPr>
        <w:sectPr w:rsidR="00D641D2">
          <w:pgSz w:w="12240" w:h="15840" w:code="1"/>
          <w:pgMar w:top="1080" w:right="1440" w:bottom="1080" w:left="1440" w:header="720" w:footer="720" w:gutter="0"/>
          <w:cols w:space="720"/>
          <w:noEndnote/>
          <w:docGrid w:linePitch="299"/>
        </w:sectPr>
      </w:pPr>
    </w:p>
    <w:p w:rsidR="00D641D2" w:rsidRDefault="00D64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1D2" w:rsidRDefault="00D64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1D2" w:rsidRDefault="00D64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1D2" w:rsidRDefault="00D64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1D2" w:rsidRDefault="00D64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1D2" w:rsidRDefault="00D64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1D2" w:rsidRDefault="00D64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1D2" w:rsidRDefault="00D64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1D2" w:rsidRDefault="00AC5512">
      <w:pPr>
        <w:pStyle w:val="Heading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billhead"/>
      <w:bookmarkEnd w:id="1"/>
      <w:r>
        <w:t xml:space="preserve">A </w:t>
      </w:r>
      <w:bookmarkStart w:id="2" w:name="whattype"/>
      <w:bookmarkEnd w:id="2"/>
      <w:r>
        <w:t>BILL</w:t>
      </w:r>
    </w:p>
    <w:p w:rsidR="00D641D2" w:rsidRDefault="00D64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1D2" w:rsidRDefault="00AC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63-3-850, CODE OF LAWS OF SOUTH CAROLINA, 1976, RELATING TO COMPENSATION OF A GUARDIAN AD LITEM, SO AS TO PROVIDE A PARTY WHO IS INDIGENT MAY NOT BE REQUIRED TO PAY A GUARDIAN AD LITEM FEE.</w:t>
      </w:r>
    </w:p>
    <w:p w:rsidR="00D641D2" w:rsidRDefault="00D64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41D2" w:rsidRDefault="00AC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41D2" w:rsidRDefault="00D64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1D2" w:rsidRDefault="00AC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3</w:t>
      </w:r>
      <w:r>
        <w:noBreakHyphen/>
        <w:t>850 of the 1976 Code, as redesignated by Act 361 of 2008, is amended to read:</w:t>
      </w:r>
    </w:p>
    <w:p w:rsidR="00D641D2" w:rsidRDefault="00D64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1D2" w:rsidRDefault="00AC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63</w:t>
      </w:r>
      <w:r>
        <w:noBreakHyphen/>
        <w:t>3</w:t>
      </w:r>
      <w:r>
        <w:noBreakHyphen/>
        <w:t>850.</w:t>
      </w:r>
      <w:r>
        <w:tab/>
      </w:r>
      <w:r>
        <w:rPr>
          <w:rFonts w:eastAsia="MS Mincho"/>
        </w:rPr>
        <w:t>(A)</w:t>
      </w:r>
      <w:r>
        <w:rPr>
          <w:rFonts w:eastAsia="MS Mincho"/>
        </w:rPr>
        <w:tab/>
        <w:t xml:space="preserve">At the time of appointment of a guardian ad litem, the family court judge must set forth the method and rate of compensation for the guardian ad litem, including an initial authorization of a fee based on the facts of the case.  </w:t>
      </w:r>
      <w:r>
        <w:rPr>
          <w:rFonts w:eastAsia="MS Mincho"/>
          <w:u w:val="single"/>
        </w:rPr>
        <w:t>A party who is indigent may not be required to pay a guardian ad litem’s fee.</w:t>
      </w:r>
      <w:r>
        <w:rPr>
          <w:rFonts w:eastAsia="MS Mincho"/>
        </w:rPr>
        <w:t xml:space="preserve">  If the guardian ad litem determines that it is necessary to exceed the fee initially authorized by the judge, the guardian must provide notice to both parties and obtain the judge’s written authorization or the consent of both parties to charge more than the initially authorized fee.</w:t>
      </w:r>
    </w:p>
    <w:p w:rsidR="00D641D2" w:rsidRDefault="00AC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A guardian appointed by the court is entitled to reasonable compensation, subject to the </w:t>
      </w:r>
      <w:r>
        <w:rPr>
          <w:rFonts w:eastAsia="MS Mincho"/>
          <w:u w:val="single"/>
        </w:rPr>
        <w:t>party’s ability to pay and</w:t>
      </w:r>
      <w:r>
        <w:rPr>
          <w:rFonts w:eastAsia="MS Mincho"/>
        </w:rPr>
        <w:t xml:space="preserve"> review and approval of the court. In determining the reasonableness of the fees and costs, the court must take into account: </w:t>
      </w:r>
    </w:p>
    <w:p w:rsidR="00D641D2" w:rsidRDefault="00AC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the complexity of the issues before the court; </w:t>
      </w:r>
    </w:p>
    <w:p w:rsidR="00D641D2" w:rsidRDefault="00AC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the contentiousness of the litigation; </w:t>
      </w:r>
    </w:p>
    <w:p w:rsidR="00D641D2" w:rsidRDefault="00AC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the time expended by the guardian; </w:t>
      </w:r>
    </w:p>
    <w:p w:rsidR="00D641D2" w:rsidRDefault="00AC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the expenses reasonably incurred by the guardian; </w:t>
      </w:r>
    </w:p>
    <w:p w:rsidR="00D641D2" w:rsidRDefault="00AC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the financial ability of each party to pay fees and costs;  </w:t>
      </w:r>
      <w:r>
        <w:rPr>
          <w:rFonts w:eastAsia="MS Mincho"/>
          <w:strike/>
        </w:rPr>
        <w:t>and</w:t>
      </w:r>
    </w:p>
    <w:p w:rsidR="00D641D2" w:rsidRDefault="00AC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lastRenderedPageBreak/>
        <w:tab/>
      </w:r>
      <w:r>
        <w:rPr>
          <w:rFonts w:eastAsia="MS Mincho"/>
        </w:rPr>
        <w:tab/>
      </w:r>
      <w:r>
        <w:rPr>
          <w:rFonts w:eastAsia="MS Mincho"/>
          <w:u w:val="single"/>
        </w:rPr>
        <w:t>(6)</w:t>
      </w:r>
      <w:r>
        <w:rPr>
          <w:rFonts w:eastAsia="MS Mincho"/>
        </w:rPr>
        <w:tab/>
      </w:r>
      <w:r>
        <w:rPr>
          <w:rFonts w:eastAsia="MS Mincho"/>
          <w:u w:val="single"/>
        </w:rPr>
        <w:t>whether a party is indigent; and</w:t>
      </w:r>
    </w:p>
    <w:p w:rsidR="00D641D2" w:rsidRDefault="00AC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(6)</w:t>
      </w:r>
      <w:r>
        <w:rPr>
          <w:rFonts w:eastAsia="MS Mincho"/>
          <w:u w:val="single"/>
        </w:rPr>
        <w:t>(7)</w:t>
      </w:r>
      <w:r>
        <w:rPr>
          <w:rFonts w:eastAsia="MS Mincho"/>
        </w:rPr>
        <w:tab/>
        <w:t>any other factors the court considers necessary.</w:t>
      </w:r>
    </w:p>
    <w:p w:rsidR="00D641D2" w:rsidRDefault="00AC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guardian ad litem must submit an itemized billing statement of hours, expenses, costs, and fees to the parties and their attorneys pursuant to a schedule as directed by the court.</w:t>
      </w:r>
    </w:p>
    <w:p w:rsidR="00D641D2" w:rsidRDefault="00AC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At any time during the action, a party may petition the court to review the reasonableness of the fees and costs submitted by the guardian ad litem or the attorney for the guardian ad litem.”</w:t>
      </w:r>
    </w:p>
    <w:p w:rsidR="00D641D2" w:rsidRDefault="00D64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641D2" w:rsidRDefault="00AC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641D2" w:rsidRDefault="00AC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41D2" w:rsidRDefault="00D641D2">
      <w:pPr>
        <w:suppressAutoHyphens/>
      </w:pPr>
    </w:p>
    <w:sectPr w:rsidR="00D641D2" w:rsidSect="00D641D2">
      <w:footerReference w:type="default" r:id="rId9"/>
      <w:pgSz w:w="12240" w:h="15840" w:code="1"/>
      <w:pgMar w:top="1008" w:right="4680" w:bottom="3499" w:left="1627" w:header="720" w:footer="3499" w:gutter="0"/>
      <w:lnNumType w:countBy="1" w:distance="173"/>
      <w:pgNumType w:start="1"/>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1D2" w:rsidRDefault="00AC5512">
      <w:r>
        <w:separator/>
      </w:r>
    </w:p>
  </w:endnote>
  <w:endnote w:type="continuationSeparator" w:id="0">
    <w:p w:rsidR="00D641D2" w:rsidRDefault="00AC5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029738-C2FF-4858-B50E-37397DDF4C79}"/>
    <w:embedBold r:id="rId2" w:fontKey="{CE6B5BC2-F82C-4D4A-B630-50A2D6EA35F2}"/>
  </w:font>
  <w:font w:name="Tahoma">
    <w:panose1 w:val="020B0604030504040204"/>
    <w:charset w:val="00"/>
    <w:family w:val="swiss"/>
    <w:pitch w:val="variable"/>
    <w:sig w:usb0="21002A87" w:usb1="80000000" w:usb2="00000008" w:usb3="00000000" w:csb0="000101FF" w:csb1="00000000"/>
    <w:embedRegular r:id="rId3" w:fontKey="{56530124-E8A4-46C9-87B9-3EDC4BB1C43B}"/>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4" w:fontKey="{FBEB4E4E-24B7-4637-A68C-3EF422F5E87D}"/>
  </w:font>
  <w:font w:name="Calibri">
    <w:panose1 w:val="020F0502020204030204"/>
    <w:charset w:val="00"/>
    <w:family w:val="swiss"/>
    <w:pitch w:val="variable"/>
    <w:sig w:usb0="E10002FF" w:usb1="4000ACFF" w:usb2="00000009" w:usb3="00000000" w:csb0="0000019F" w:csb1="00000000"/>
    <w:embedRegular r:id="rId5" w:fontKey="{973B3520-6F20-4BB5-A4F5-31BFEF44F5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1D2" w:rsidRDefault="00AC5512">
    <w:pPr>
      <w:pStyle w:val="Footer"/>
      <w:tabs>
        <w:tab w:val="clear" w:pos="4320"/>
        <w:tab w:val="clear" w:pos="8640"/>
        <w:tab w:val="center" w:pos="2995"/>
      </w:tabs>
      <w:spacing w:before="120"/>
    </w:pPr>
    <w:r>
      <w:t>[3182]</w:t>
    </w:r>
    <w:r>
      <w:tab/>
    </w:r>
    <w:r w:rsidR="00446F1B">
      <w:fldChar w:fldCharType="begin"/>
    </w:r>
    <w:r w:rsidR="00446F1B">
      <w:instrText xml:space="preserve"> PAGE  \* MERGEFORMAT </w:instrText>
    </w:r>
    <w:r w:rsidR="00446F1B">
      <w:fldChar w:fldCharType="separate"/>
    </w:r>
    <w:r w:rsidR="00446F1B">
      <w:rPr>
        <w:noProof/>
      </w:rPr>
      <w:t>2</w:t>
    </w:r>
    <w:r w:rsidR="00446F1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1D2" w:rsidRDefault="00AC5512">
      <w:r>
        <w:separator/>
      </w:r>
    </w:p>
  </w:footnote>
  <w:footnote w:type="continuationSeparator" w:id="0">
    <w:p w:rsidR="00D641D2" w:rsidRDefault="00AC55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oNotTrackMoves/>
  <w:defaultTabStop w:val="720"/>
  <w:drawingGridHorizontalSpacing w:val="110"/>
  <w:drawingGridVerticalSpacing w:val="299"/>
  <w:displayHorizontalDrawingGridEvery w:val="0"/>
  <w:displayVerticalDrawingGridEvery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body" w:val="h"/>
    <w:docVar w:name="clipname" w:val="22143AB09"/>
    <w:docVar w:name="CoverBillType" w:val="b"/>
    <w:docVar w:name="docpath" w:val="L:\Council\bills\GGS\22143AB09.DOC"/>
    <w:docVar w:name="dvBillNumber" w:val="3182"/>
    <w:docVar w:name="dvBillNumberPrefix" w:val="H. "/>
    <w:docVar w:name="dvOriginalBody" w:val="House"/>
    <w:docVar w:name="dvSteno" w:val="GGS"/>
    <w:docVar w:name="NameofBody" w:val="h"/>
    <w:docVar w:name="vgroup2" w:val="Council"/>
  </w:docVars>
  <w:rsids>
    <w:rsidRoot w:val="00D641D2"/>
    <w:rsid w:val="00446F1B"/>
    <w:rsid w:val="004B5B8F"/>
    <w:rsid w:val="00754358"/>
    <w:rsid w:val="00AC5512"/>
    <w:rsid w:val="00B00F99"/>
    <w:rsid w:val="00D641D2"/>
    <w:rsid w:val="00F72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E62723F7-C0ED-4693-AFDA-578E17CF1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1D2"/>
    <w:pPr>
      <w:jc w:val="both"/>
    </w:pPr>
    <w:rPr>
      <w:sz w:val="22"/>
    </w:rPr>
  </w:style>
  <w:style w:type="paragraph" w:styleId="Heading1">
    <w:name w:val="heading 1"/>
    <w:basedOn w:val="Normal"/>
    <w:next w:val="Normal"/>
    <w:qFormat/>
    <w:rsid w:val="00D641D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semiHidden/>
    <w:rsid w:val="00D641D2"/>
  </w:style>
  <w:style w:type="paragraph" w:styleId="Header">
    <w:name w:val="header"/>
    <w:basedOn w:val="Normal"/>
    <w:semiHidden/>
    <w:rsid w:val="00D641D2"/>
    <w:pPr>
      <w:tabs>
        <w:tab w:val="center" w:pos="4320"/>
        <w:tab w:val="right" w:pos="8640"/>
      </w:tabs>
    </w:pPr>
  </w:style>
  <w:style w:type="paragraph" w:styleId="Footer">
    <w:name w:val="footer"/>
    <w:basedOn w:val="Normal"/>
    <w:semiHidden/>
    <w:rsid w:val="00D641D2"/>
    <w:pPr>
      <w:tabs>
        <w:tab w:val="center" w:pos="4320"/>
        <w:tab w:val="right" w:pos="8640"/>
      </w:tabs>
    </w:pPr>
  </w:style>
  <w:style w:type="character" w:styleId="PageNumber">
    <w:name w:val="page number"/>
    <w:basedOn w:val="DefaultParagraphFont"/>
    <w:semiHidden/>
    <w:rsid w:val="00D641D2"/>
  </w:style>
  <w:style w:type="paragraph" w:styleId="DocumentMap">
    <w:name w:val="Document Map"/>
    <w:basedOn w:val="Normal"/>
    <w:semiHidden/>
    <w:rsid w:val="00D641D2"/>
    <w:pPr>
      <w:shd w:val="clear" w:color="auto" w:fill="000080"/>
    </w:pPr>
    <w:rPr>
      <w:rFonts w:ascii="Tahoma" w:hAnsi="Tahoma"/>
    </w:rPr>
  </w:style>
  <w:style w:type="paragraph" w:customStyle="1" w:styleId="FlushRightNumbers">
    <w:name w:val="Flush Right Numbers"/>
    <w:basedOn w:val="Normal"/>
    <w:rsid w:val="00D641D2"/>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D641D2"/>
    <w:pPr>
      <w:tabs>
        <w:tab w:val="left" w:pos="216"/>
        <w:tab w:val="left" w:pos="432"/>
        <w:tab w:val="left" w:pos="648"/>
        <w:tab w:val="left" w:pos="864"/>
        <w:tab w:val="left" w:pos="1080"/>
        <w:tab w:val="left" w:pos="1296"/>
        <w:tab w:val="right" w:leader="dot" w:pos="5904"/>
      </w:tabs>
    </w:pPr>
  </w:style>
  <w:style w:type="character" w:styleId="Hyperlink">
    <w:name w:val="Hyperlink"/>
    <w:basedOn w:val="DefaultParagraphFont"/>
    <w:uiPriority w:val="99"/>
    <w:unhideWhenUsed/>
    <w:rsid w:val="00D641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182_20081216.docx" TargetMode="External"/><Relationship Id="rId3" Type="http://schemas.openxmlformats.org/officeDocument/2006/relationships/webSettings" Target="webSettings.xml"/><Relationship Id="rId7" Type="http://schemas.openxmlformats.org/officeDocument/2006/relationships/hyperlink" Target="file:///h:\H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H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21</TotalTime>
  <Pages>3</Pages>
  <Words>445</Words>
  <Characters>2216</Characters>
  <Application>Microsoft Office Word</Application>
  <DocSecurity>0</DocSecurity>
  <Lines>84</Lines>
  <Paragraphs>35</Paragraphs>
  <ScaleCrop>false</ScaleCrop>
  <HeadingPairs>
    <vt:vector size="2" baseType="variant">
      <vt:variant>
        <vt:lpstr>Title</vt:lpstr>
      </vt:variant>
      <vt:variant>
        <vt:i4>1</vt:i4>
      </vt:variant>
    </vt:vector>
  </HeadingPairs>
  <TitlesOfParts>
    <vt:vector size="1" baseType="lpstr">
      <vt:lpstr>A </vt:lpstr>
    </vt:vector>
  </TitlesOfParts>
  <Company>LPITR</Company>
  <LinksUpToDate>false</LinksUpToDate>
  <CharactersWithSpaces>2656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3182: Guardian ad litem fee - South Carolina Legislature Online</dc:title>
  <dc:subject/>
  <dc:creator>SENINS</dc:creator>
  <cp:keywords/>
  <cp:lastModifiedBy>N Cumfer</cp:lastModifiedBy>
  <cp:revision>11</cp:revision>
  <cp:lastPrinted>2008-08-28T19:00:00Z</cp:lastPrinted>
  <dcterms:created xsi:type="dcterms:W3CDTF">2008-12-16T23:18:00Z</dcterms:created>
  <dcterms:modified xsi:type="dcterms:W3CDTF">2014-11-24T15:43:00Z</dcterms:modified>
</cp:coreProperties>
</file>