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AE4" w:rsidRDefault="00D31077">
      <w:pPr>
        <w:widowControl w:val="0"/>
        <w:jc w:val="center"/>
      </w:pPr>
      <w:bookmarkStart w:id="0" w:name="_GoBack"/>
      <w:bookmarkEnd w:id="0"/>
      <w:r>
        <w:rPr>
          <w:b/>
        </w:rPr>
        <w:t>South Carolina General Assembly</w:t>
      </w:r>
    </w:p>
    <w:p w:rsidR="00F61AE4" w:rsidRDefault="00D31077">
      <w:pPr>
        <w:widowControl w:val="0"/>
        <w:jc w:val="center"/>
      </w:pPr>
      <w:r>
        <w:t>118th Session, 2009-2010</w:t>
      </w:r>
    </w:p>
    <w:p w:rsidR="00F61AE4" w:rsidRDefault="00F61AE4">
      <w:pPr>
        <w:widowControl w:val="0"/>
        <w:jc w:val="left"/>
      </w:pPr>
    </w:p>
    <w:p w:rsidR="00F61AE4" w:rsidRDefault="00D31077">
      <w:pPr>
        <w:widowControl w:val="0"/>
        <w:jc w:val="left"/>
        <w:rPr>
          <w:b/>
        </w:rPr>
      </w:pPr>
      <w:r>
        <w:rPr>
          <w:b/>
        </w:rPr>
        <w:t>H. 3923</w:t>
      </w:r>
    </w:p>
    <w:p w:rsidR="00F61AE4" w:rsidRDefault="00F61AE4">
      <w:pPr>
        <w:widowControl w:val="0"/>
        <w:jc w:val="left"/>
        <w:rPr>
          <w:b/>
        </w:rPr>
      </w:pPr>
    </w:p>
    <w:p w:rsidR="00F61AE4" w:rsidRDefault="00D31077">
      <w:pPr>
        <w:widowControl w:val="0"/>
        <w:jc w:val="left"/>
      </w:pPr>
      <w:r>
        <w:rPr>
          <w:b/>
        </w:rPr>
        <w:t>STATUS INFORMATION</w:t>
      </w:r>
    </w:p>
    <w:p w:rsidR="00F61AE4" w:rsidRDefault="00F61AE4">
      <w:pPr>
        <w:widowControl w:val="0"/>
        <w:jc w:val="left"/>
      </w:pPr>
    </w:p>
    <w:p w:rsidR="00F61AE4" w:rsidRDefault="00D31077">
      <w:pPr>
        <w:widowControl w:val="0"/>
        <w:jc w:val="left"/>
      </w:pPr>
      <w:r>
        <w:t>Joint Resolution</w:t>
      </w:r>
    </w:p>
    <w:p w:rsidR="00F61AE4" w:rsidRDefault="00D31077">
      <w:pPr>
        <w:widowControl w:val="0"/>
        <w:jc w:val="left"/>
      </w:pPr>
      <w:r>
        <w:t>Sponsors: Reps. Gunn, Funderburk, King, Gilliard, Sellers and Mitchell</w:t>
      </w:r>
    </w:p>
    <w:p w:rsidR="00F61AE4" w:rsidRDefault="00D31077">
      <w:pPr>
        <w:widowControl w:val="0"/>
        <w:jc w:val="left"/>
      </w:pPr>
      <w:r>
        <w:t>Document Path: l:\council\bills\gjk\20295sd09.docx</w:t>
      </w:r>
    </w:p>
    <w:p w:rsidR="00F61AE4" w:rsidRDefault="00D31077">
      <w:pPr>
        <w:widowControl w:val="0"/>
        <w:jc w:val="left"/>
      </w:pPr>
      <w:r>
        <w:t>Companion/Similar bill(s): 691, 3962</w:t>
      </w:r>
    </w:p>
    <w:p w:rsidR="00F61AE4" w:rsidRDefault="00F61AE4">
      <w:pPr>
        <w:widowControl w:val="0"/>
        <w:jc w:val="left"/>
      </w:pPr>
    </w:p>
    <w:p w:rsidR="00F61AE4" w:rsidRDefault="00D31077">
      <w:pPr>
        <w:widowControl w:val="0"/>
        <w:jc w:val="left"/>
      </w:pPr>
      <w:r>
        <w:t>Introduced in the House on April 22, 2009</w:t>
      </w:r>
    </w:p>
    <w:p w:rsidR="00F61AE4" w:rsidRDefault="00D31077">
      <w:pPr>
        <w:widowControl w:val="0"/>
        <w:jc w:val="left"/>
      </w:pPr>
      <w:r>
        <w:t xml:space="preserve">Currently residing in the House Committee on </w:t>
      </w:r>
      <w:r>
        <w:rPr>
          <w:b/>
        </w:rPr>
        <w:t>Ways and Means</w:t>
      </w:r>
    </w:p>
    <w:p w:rsidR="00F61AE4" w:rsidRDefault="00F61AE4">
      <w:pPr>
        <w:widowControl w:val="0"/>
        <w:jc w:val="left"/>
      </w:pPr>
    </w:p>
    <w:p w:rsidR="00F61AE4" w:rsidRDefault="00D31077">
      <w:pPr>
        <w:widowControl w:val="0"/>
        <w:jc w:val="left"/>
      </w:pPr>
      <w:r>
        <w:t>Summary: State Fiscal Stabilization Funds</w:t>
      </w:r>
    </w:p>
    <w:p w:rsidR="00F61AE4" w:rsidRDefault="00F61AE4">
      <w:pPr>
        <w:widowControl w:val="0"/>
        <w:jc w:val="left"/>
      </w:pPr>
    </w:p>
    <w:p w:rsidR="00F61AE4" w:rsidRDefault="00F61AE4">
      <w:pPr>
        <w:widowControl w:val="0"/>
        <w:jc w:val="left"/>
      </w:pPr>
    </w:p>
    <w:p w:rsidR="00F61AE4" w:rsidRDefault="00D31077">
      <w:pPr>
        <w:widowControl w:val="0"/>
        <w:tabs>
          <w:tab w:val="center" w:pos="590"/>
          <w:tab w:val="center" w:pos="1440"/>
          <w:tab w:val="left" w:pos="1872"/>
          <w:tab w:val="left" w:pos="9187"/>
        </w:tabs>
        <w:jc w:val="left"/>
      </w:pPr>
      <w:r>
        <w:rPr>
          <w:b/>
        </w:rPr>
        <w:t>HISTORY OF LEGISLATIVE ACTIONS</w:t>
      </w:r>
    </w:p>
    <w:p w:rsidR="00F61AE4" w:rsidRDefault="00F61AE4">
      <w:pPr>
        <w:widowControl w:val="0"/>
        <w:tabs>
          <w:tab w:val="center" w:pos="590"/>
          <w:tab w:val="center" w:pos="1440"/>
          <w:tab w:val="left" w:pos="1872"/>
          <w:tab w:val="left" w:pos="9187"/>
        </w:tabs>
        <w:jc w:val="left"/>
      </w:pPr>
    </w:p>
    <w:p w:rsidR="00F61AE4" w:rsidRDefault="00D310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61AE4" w:rsidRDefault="00D31077">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820C02">
          <w:rPr>
            <w:rStyle w:val="Hyperlink"/>
          </w:rPr>
          <w:t>HJ</w:t>
        </w:r>
      </w:hyperlink>
      <w:r>
        <w:noBreakHyphen/>
        <w:t>15</w:t>
      </w:r>
    </w:p>
    <w:p w:rsidR="00F61AE4" w:rsidRDefault="00D31077">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Ways and Means</w:t>
      </w:r>
      <w:r>
        <w:t xml:space="preserve"> </w:t>
      </w:r>
      <w:hyperlink r:id="rId8" w:history="1">
        <w:r w:rsidRPr="00820C02">
          <w:rPr>
            <w:rStyle w:val="Hyperlink"/>
          </w:rPr>
          <w:t>HJ</w:t>
        </w:r>
      </w:hyperlink>
      <w:r>
        <w:noBreakHyphen/>
        <w:t>15</w:t>
      </w:r>
    </w:p>
    <w:p w:rsidR="00F61AE4" w:rsidRDefault="00F61AE4">
      <w:pPr>
        <w:widowControl w:val="0"/>
        <w:tabs>
          <w:tab w:val="right" w:pos="1008"/>
          <w:tab w:val="left" w:pos="1152"/>
          <w:tab w:val="left" w:pos="1872"/>
          <w:tab w:val="left" w:pos="9187"/>
        </w:tabs>
        <w:ind w:left="2088" w:hanging="2088"/>
        <w:jc w:val="left"/>
      </w:pPr>
    </w:p>
    <w:p w:rsidR="00F61AE4" w:rsidRDefault="00F61AE4">
      <w:pPr>
        <w:widowControl w:val="0"/>
        <w:tabs>
          <w:tab w:val="right" w:pos="1008"/>
          <w:tab w:val="left" w:pos="1152"/>
          <w:tab w:val="left" w:pos="1872"/>
          <w:tab w:val="left" w:pos="9187"/>
        </w:tabs>
        <w:ind w:left="2088" w:hanging="2088"/>
        <w:jc w:val="left"/>
      </w:pPr>
    </w:p>
    <w:p w:rsidR="00F61AE4" w:rsidRDefault="00D31077">
      <w:pPr>
        <w:widowControl w:val="0"/>
        <w:jc w:val="left"/>
      </w:pPr>
      <w:r>
        <w:rPr>
          <w:b/>
        </w:rPr>
        <w:t>VERSIONS OF THIS BILL</w:t>
      </w:r>
    </w:p>
    <w:p w:rsidR="00F61AE4" w:rsidRDefault="00F61AE4">
      <w:pPr>
        <w:widowControl w:val="0"/>
        <w:jc w:val="left"/>
      </w:pPr>
    </w:p>
    <w:p w:rsidR="00F61AE4" w:rsidRDefault="00FE5A3E">
      <w:pPr>
        <w:widowControl w:val="0"/>
        <w:jc w:val="left"/>
      </w:pPr>
      <w:hyperlink r:id="rId9" w:history="1">
        <w:r w:rsidR="00D31077">
          <w:rPr>
            <w:rStyle w:val="Hyperlink"/>
          </w:rPr>
          <w:t>4/22/2009</w:t>
        </w:r>
      </w:hyperlink>
    </w:p>
    <w:p w:rsidR="00F61AE4" w:rsidRDefault="00F61AE4"/>
    <w:p w:rsidR="00F61AE4" w:rsidRDefault="00F61AE4">
      <w:pPr>
        <w:sectPr w:rsidR="00F61AE4">
          <w:pgSz w:w="12240" w:h="15840" w:code="1"/>
          <w:pgMar w:top="1080" w:right="1440" w:bottom="1080" w:left="1440" w:header="720" w:footer="720" w:gutter="0"/>
          <w:cols w:space="720"/>
          <w:noEndnote/>
          <w:docGrid w:linePitch="360"/>
        </w:sectPr>
      </w:pPr>
    </w:p>
    <w:p w:rsidR="00F61AE4" w:rsidRDefault="00F61AE4">
      <w:pPr>
        <w:pStyle w:val="BillDots"/>
      </w:pPr>
    </w:p>
    <w:p w:rsidR="00F61AE4" w:rsidRDefault="00F61AE4">
      <w:pPr>
        <w:pStyle w:val="Numbersforbill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The General Assembly finds:</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w:t>
      </w:r>
      <w:r>
        <w:rPr>
          <w:szCs w:val="22"/>
        </w:rPr>
        <w:noBreakHyphen/>
        <w:t>1, the American Recovery and Reinvestment Act of 2009 (ARRA).</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That pursuant to the ARRA, in order to receive the maximum amount of State Fiscal Stabilization Funds available pursuant to Title XIV of the ARRA, certain action must be taken by the Governor of this State.</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 xml:space="preserve">That pursuant to the Tenth Amendment to the United State’s Constitution, all power not specifically provided to the </w:t>
      </w:r>
      <w:r>
        <w:rPr>
          <w:szCs w:val="22"/>
        </w:rPr>
        <w:lastRenderedPageBreak/>
        <w:t>federal government is reserved to the States and the Constitution does not provide the United States Congress with the power to determine the constitutional balance of power in this State.</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That pursuant to the constitutional structure of this State, the General Assembly has the power to make the law, and it is the obligation of the Governor to faithfully execute the law.</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(6)</w:t>
      </w:r>
      <w:r>
        <w:rPr>
          <w:szCs w:val="22"/>
        </w:rPr>
        <w:tab/>
        <w:t>That pursuant to this authority, it is appropriate for the General Assembly to obligate the Governor, by law, to take certain action in order to secure funds available pursuant to the ARRA.</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w:t>
      </w:r>
      <w:r>
        <w:rPr>
          <w:szCs w:val="22"/>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United States Secretary of Education.  The application must include any and all information required by the United States Secretary of Education and must specifically include the assurances required by Section 14005 of the ARRA that the State will:</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(1)(a)</w:t>
      </w:r>
      <w:r>
        <w:rPr>
          <w:szCs w:val="22"/>
        </w:rPr>
        <w:tab/>
        <w:t>In each of fiscal years 2009, 2010, and 2011 maintain state support for elementary and secondary education at least at the level of state support in fiscal year 2006.</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r>
      <w:r>
        <w:rPr>
          <w:szCs w:val="22"/>
        </w:rPr>
        <w:tab/>
        <w:t>(b)</w:t>
      </w:r>
      <w:r>
        <w:rPr>
          <w:szCs w:val="22"/>
        </w:rPr>
        <w:tab/>
        <w:t>In each of fiscal years 2009, 2010, and 2011 maintain state support for public institutions of higher education at least at the level of state support provided in fiscal year 2006.</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Take action to improve teacher effectiveness and to address inequities in the distribution of high quality teachers between high and low poverty schools, and to ensure that low</w:t>
      </w:r>
      <w:r>
        <w:rPr>
          <w:szCs w:val="22"/>
        </w:rPr>
        <w:noBreakHyphen/>
        <w:t>income and minority children are not taught at higher rates than other children by inexperienced, unqualified, or out</w:t>
      </w:r>
      <w:r>
        <w:rPr>
          <w:szCs w:val="22"/>
        </w:rPr>
        <w:noBreakHyphen/>
        <w:t>of</w:t>
      </w:r>
      <w:r>
        <w:rPr>
          <w:szCs w:val="22"/>
        </w:rPr>
        <w:noBreakHyphen/>
        <w:t>field teachers.</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Establish a longitudinal data system that includes the elements described in the America COMPETES Act.</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Enhance the quality of academic assessments, comply with ESEA and IDEA regarding the inclusion of children with disabilities and limited English proficiency in assessments, and improve state academic content standards and academic achievement standards consistent with the America COMPETES Act.</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Provide the support to struggling schools as defined and required by Sections 1116(b)(7)(C)(iv) and 1116(b)(8)(B) of the ESEA.</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declares that these assurances are reasonable and further declares that achieving the goals required by these assurances to be the policy of the State.</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As part of the application, the Governor shall provide baseline data on the State’s current status in each of the assurance areas listed in subsection (A) by providing the United States Secretary of Education with the ARRA Assurances Baseline Current Status Report dated April 9, 2009, which the General Assembly adopts as the official report of the State’s current status in these areas.</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As part of the application, the Governor shall describe how the State intends to use its allocation of fiscal stabilization funds by providing that the State will divide its allocation between the support of K</w:t>
      </w:r>
      <w:r>
        <w:rPr>
          <w:szCs w:val="22"/>
        </w:rPr>
        <w:noBreakHyphen/>
        <w:t>12 elementary and secondary education and the support of public institutions of higher education in proportion to the percentages of shortfall in state support of the two areas.  The portion allocated to the support of K</w:t>
      </w:r>
      <w:r>
        <w:rPr>
          <w:szCs w:val="22"/>
        </w:rPr>
        <w:noBreakHyphen/>
        <w:t>12 elementary and secondary education shall be used to meet the maintenance of effort requirements of the ESEA and IDEA through the state’s primary funding formula established by the Education Finance Act.</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The General Assembly recognizes that the current economic crisis has resulted in a precipitous drop in state revenue and that the phase one allocation of sixty</w:t>
      </w:r>
      <w:r>
        <w:rPr>
          <w:szCs w:val="22"/>
        </w:rPr>
        <w:noBreakHyphen/>
        <w:t>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The General Assembly recognizes that the Governor must assure in his application that the State will maintain the state level of support for K</w:t>
      </w:r>
      <w:r>
        <w:rPr>
          <w:szCs w:val="22"/>
        </w:rPr>
        <w:noBreakHyphen/>
        <w:t>12 elementary and secondary education and public institutions of higher education at the level of support provided in fiscal year 2006.  For any of fiscal years 2009, 2010, and 2011 that the General Assembly is not able to maintain state support at the 2006 level, the Governor shall request a waiver as provided in the ARRA.  The General Assembly declares that in order to comply with the requirements of the waiver, it will take all action necessary to maintain the aggregate percentage of support for K</w:t>
      </w:r>
      <w:r>
        <w:rPr>
          <w:szCs w:val="22"/>
        </w:rPr>
        <w:noBreakHyphen/>
        <w:t>12 elementary and secondary education and public institutions of higher education in relation to total funds available for all government services at or above the percentage for the preceding fiscal year.</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In order to obtain the phase two allocation of fiscal stabilization funds, the Governor shall submit an application to the United States Secretary of Education in a manner that is consistent with and complies with the requirements of Title XIV of the ARRA and any additional requirements imposed by the United States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Upon request and based on information provided by the State Secretary of Education, the Governor shall apply for State Incentive Grants available pursuant to Section 14006 of the ARRA.</w:t>
      </w:r>
    </w:p>
    <w:p w:rsidR="00F61AE4" w:rsidRDefault="00F61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This joint resolution takes effect upon approval by the Governor.</w:t>
      </w:r>
    </w:p>
    <w:p w:rsidR="00F61AE4" w:rsidRDefault="00D3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1AE4" w:rsidRDefault="00F61AE4">
      <w:pPr>
        <w:suppressAutoHyphens/>
      </w:pPr>
    </w:p>
    <w:sectPr w:rsidR="00F61AE4" w:rsidSect="00F61A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AE4" w:rsidRDefault="00D31077">
      <w:r>
        <w:separator/>
      </w:r>
    </w:p>
  </w:endnote>
  <w:endnote w:type="continuationSeparator" w:id="0">
    <w:p w:rsidR="00F61AE4" w:rsidRDefault="00D31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361C9-B665-4911-B207-AFF1AF263807}"/>
    <w:embedBold r:id="rId2" w:fontKey="{BC00BA6E-9B39-49A2-966F-488F75168658}"/>
  </w:font>
  <w:font w:name="Calibri">
    <w:panose1 w:val="020F0502020204030204"/>
    <w:charset w:val="00"/>
    <w:family w:val="swiss"/>
    <w:pitch w:val="variable"/>
    <w:sig w:usb0="E10002FF" w:usb1="4000ACFF" w:usb2="00000009" w:usb3="00000000" w:csb0="0000019F" w:csb1="00000000"/>
    <w:embedRegular r:id="rId3" w:fontKey="{BFE3FD26-A539-4FCF-907A-A58A380069F7}"/>
  </w:font>
  <w:font w:name="Cambria">
    <w:panose1 w:val="02040503050406030204"/>
    <w:charset w:val="00"/>
    <w:family w:val="roman"/>
    <w:pitch w:val="variable"/>
    <w:sig w:usb0="E00002FF" w:usb1="400004FF" w:usb2="00000000" w:usb3="00000000" w:csb0="0000019F" w:csb1="00000000"/>
    <w:embedRegular r:id="rId4" w:fontKey="{69521E61-240F-4192-82C1-866283656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AE4" w:rsidRDefault="00D31077">
    <w:pPr>
      <w:pStyle w:val="Footer"/>
      <w:tabs>
        <w:tab w:val="clear" w:pos="4680"/>
        <w:tab w:val="clear" w:pos="9360"/>
        <w:tab w:val="center" w:pos="2995"/>
      </w:tabs>
      <w:spacing w:before="120"/>
    </w:pPr>
    <w:r>
      <w:t>[3923]</w:t>
    </w:r>
    <w:r>
      <w:tab/>
    </w:r>
    <w:r w:rsidR="00FE5A3E">
      <w:fldChar w:fldCharType="begin"/>
    </w:r>
    <w:r w:rsidR="00FE5A3E">
      <w:instrText xml:space="preserve"> PAGE  \* MERGEFORMAT </w:instrText>
    </w:r>
    <w:r w:rsidR="00FE5A3E">
      <w:fldChar w:fldCharType="separate"/>
    </w:r>
    <w:r w:rsidR="00FE5A3E">
      <w:rPr>
        <w:noProof/>
      </w:rPr>
      <w:t>1</w:t>
    </w:r>
    <w:r w:rsidR="00FE5A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AE4" w:rsidRDefault="00D31077">
      <w:r>
        <w:separator/>
      </w:r>
    </w:p>
  </w:footnote>
  <w:footnote w:type="continuationSeparator" w:id="0">
    <w:p w:rsidR="00F61AE4" w:rsidRDefault="00D310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95SD09"/>
    <w:docVar w:name="CoverBillType" w:val="j"/>
    <w:docVar w:name="docpath" w:val="L:\Council\bills\GJK\20295SD09.DOCX"/>
    <w:docVar w:name="dvBillNumber" w:val="3923"/>
    <w:docVar w:name="dvBillNumberPrefix" w:val="H. "/>
    <w:docVar w:name="dvOriginalBody" w:val="House"/>
    <w:docVar w:name="dvSteno" w:val="GJK"/>
    <w:docVar w:name="NameofBody" w:val="h"/>
    <w:docVar w:name="vgroup2" w:val="Council"/>
  </w:docVars>
  <w:rsids>
    <w:rsidRoot w:val="00F61AE4"/>
    <w:rsid w:val="000F41E2"/>
    <w:rsid w:val="00104DB6"/>
    <w:rsid w:val="002C4EDE"/>
    <w:rsid w:val="00820C02"/>
    <w:rsid w:val="00D31077"/>
    <w:rsid w:val="00F61AE4"/>
    <w:rsid w:val="00FE5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5AA031-597D-447F-A83D-8D552DDD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AE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61AE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E4"/>
    <w:rPr>
      <w:rFonts w:eastAsia="Times New Roman" w:cs="Times New Roman"/>
      <w:b/>
      <w:sz w:val="30"/>
      <w:szCs w:val="20"/>
    </w:rPr>
  </w:style>
  <w:style w:type="paragraph" w:styleId="Header">
    <w:name w:val="header"/>
    <w:basedOn w:val="Normal"/>
    <w:link w:val="HeaderChar"/>
    <w:uiPriority w:val="99"/>
    <w:semiHidden/>
    <w:unhideWhenUsed/>
    <w:rsid w:val="00F61AE4"/>
    <w:pPr>
      <w:tabs>
        <w:tab w:val="center" w:pos="4320"/>
        <w:tab w:val="right" w:pos="8640"/>
      </w:tabs>
    </w:pPr>
  </w:style>
  <w:style w:type="character" w:customStyle="1" w:styleId="HeaderChar">
    <w:name w:val="Header Char"/>
    <w:basedOn w:val="DefaultParagraphFont"/>
    <w:link w:val="Header"/>
    <w:uiPriority w:val="99"/>
    <w:semiHidden/>
    <w:rsid w:val="00F61AE4"/>
    <w:rPr>
      <w:rFonts w:eastAsia="Times New Roman" w:cs="Times New Roman"/>
      <w:szCs w:val="20"/>
    </w:rPr>
  </w:style>
  <w:style w:type="paragraph" w:styleId="Footer">
    <w:name w:val="footer"/>
    <w:basedOn w:val="Normal"/>
    <w:link w:val="FooterChar"/>
    <w:uiPriority w:val="99"/>
    <w:unhideWhenUsed/>
    <w:rsid w:val="00F61AE4"/>
    <w:pPr>
      <w:tabs>
        <w:tab w:val="center" w:pos="4680"/>
        <w:tab w:val="right" w:pos="9360"/>
      </w:tabs>
    </w:pPr>
  </w:style>
  <w:style w:type="character" w:customStyle="1" w:styleId="FooterChar">
    <w:name w:val="Footer Char"/>
    <w:basedOn w:val="DefaultParagraphFont"/>
    <w:link w:val="Footer"/>
    <w:uiPriority w:val="99"/>
    <w:rsid w:val="00F61AE4"/>
    <w:rPr>
      <w:rFonts w:eastAsia="Times New Roman" w:cs="Times New Roman"/>
      <w:szCs w:val="20"/>
    </w:rPr>
  </w:style>
  <w:style w:type="character" w:styleId="PageNumber">
    <w:name w:val="page number"/>
    <w:basedOn w:val="DefaultParagraphFont"/>
    <w:uiPriority w:val="99"/>
    <w:semiHidden/>
    <w:unhideWhenUsed/>
    <w:rsid w:val="00F61AE4"/>
  </w:style>
  <w:style w:type="character" w:styleId="LineNumber">
    <w:name w:val="line number"/>
    <w:basedOn w:val="DefaultParagraphFont"/>
    <w:uiPriority w:val="99"/>
    <w:semiHidden/>
    <w:unhideWhenUsed/>
    <w:rsid w:val="00F61AE4"/>
  </w:style>
  <w:style w:type="paragraph" w:customStyle="1" w:styleId="BillDots">
    <w:name w:val="Bill Dots"/>
    <w:basedOn w:val="Normal"/>
    <w:qFormat/>
    <w:rsid w:val="00F61A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1AE4"/>
    <w:pPr>
      <w:tabs>
        <w:tab w:val="right" w:pos="5904"/>
      </w:tabs>
    </w:pPr>
  </w:style>
  <w:style w:type="character" w:styleId="Hyperlink">
    <w:name w:val="Hyperlink"/>
    <w:basedOn w:val="DefaultParagraphFont"/>
    <w:uiPriority w:val="99"/>
    <w:unhideWhenUsed/>
    <w:rsid w:val="00F61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3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395EB-39F8-4221-A7C1-EE8FD0E36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1490</Words>
  <Characters>7763</Characters>
  <Application>Microsoft Office Word</Application>
  <DocSecurity>0</DocSecurity>
  <Lines>199</Lines>
  <Paragraphs>44</Paragraphs>
  <ScaleCrop>false</ScaleCrop>
  <Company> </Company>
  <LinksUpToDate>false</LinksUpToDate>
  <CharactersWithSpaces>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3923: State Fiscal Stabilization Funds - South Carolina Legislature Online</dc:title>
  <dc:subject/>
  <dc:creator>GAYLE KUBALA</dc:creator>
  <cp:keywords/>
  <dc:description/>
  <cp:lastModifiedBy>N Cumfer</cp:lastModifiedBy>
  <cp:revision>11</cp:revision>
  <cp:lastPrinted>2009-04-21T14:50:00Z</cp:lastPrinted>
  <dcterms:created xsi:type="dcterms:W3CDTF">2009-04-22T14:45:00Z</dcterms:created>
  <dcterms:modified xsi:type="dcterms:W3CDTF">2014-11-24T16:15:00Z</dcterms:modified>
</cp:coreProperties>
</file>