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BB4" w:rsidRDefault="00D0501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C20BB4" w:rsidRDefault="00D0501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C20BB4" w:rsidRDefault="00C20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20BB4" w:rsidRDefault="00D0501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3941</w:t>
      </w:r>
    </w:p>
    <w:p w:rsidR="00C20BB4" w:rsidRDefault="00C20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C20BB4" w:rsidRDefault="00D0501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C20BB4" w:rsidRDefault="00C20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20BB4" w:rsidRDefault="00D0501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C20BB4" w:rsidRDefault="00D0501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Hayes, Gambrell, Agnew, Bowen, Gullick and D.C. Moss</w:t>
      </w:r>
    </w:p>
    <w:p w:rsidR="00C20BB4" w:rsidRDefault="00D0501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l:\council\bills\agm\19411mm09.docx</w:t>
      </w:r>
    </w:p>
    <w:p w:rsidR="00C20BB4" w:rsidRDefault="00D0501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454</w:t>
      </w:r>
    </w:p>
    <w:p w:rsidR="00C20BB4" w:rsidRDefault="00C20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22649" w:rsidRDefault="000226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22, 2009</w:t>
      </w:r>
    </w:p>
    <w:p w:rsidR="00022649" w:rsidRDefault="000226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19, 2010</w:t>
      </w:r>
    </w:p>
    <w:p w:rsidR="00022649" w:rsidRDefault="000226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January 14, 2010</w:t>
      </w:r>
    </w:p>
    <w:p w:rsidR="00022649" w:rsidRPr="00022649" w:rsidRDefault="000226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022649">
        <w:rPr>
          <w:b/>
        </w:rPr>
        <w:t>Labor, Commerce and Industry</w:t>
      </w:r>
    </w:p>
    <w:p w:rsidR="00022649" w:rsidRDefault="000226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20BB4" w:rsidRDefault="00D0501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State Board of Pyrotechnic Safety</w:t>
      </w:r>
    </w:p>
    <w:p w:rsidR="00C20BB4" w:rsidRDefault="00C20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20BB4" w:rsidRDefault="00C20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20BB4" w:rsidRDefault="00D05017">
      <w:pPr>
        <w:widowControl w:val="0"/>
        <w:tabs>
          <w:tab w:val="center" w:pos="590"/>
          <w:tab w:val="center" w:pos="1440"/>
          <w:tab w:val="left" w:pos="1872"/>
          <w:tab w:val="left" w:pos="9187"/>
        </w:tabs>
        <w:jc w:val="left"/>
      </w:pPr>
      <w:r>
        <w:rPr>
          <w:b/>
        </w:rPr>
        <w:t>HISTORY OF LEGISLATIVE ACTIONS</w:t>
      </w:r>
    </w:p>
    <w:p w:rsidR="00C20BB4" w:rsidRDefault="00C20BB4">
      <w:pPr>
        <w:widowControl w:val="0"/>
        <w:tabs>
          <w:tab w:val="center" w:pos="590"/>
          <w:tab w:val="center" w:pos="1440"/>
          <w:tab w:val="left" w:pos="1872"/>
          <w:tab w:val="left" w:pos="9187"/>
        </w:tabs>
        <w:jc w:val="left"/>
      </w:pPr>
    </w:p>
    <w:p w:rsidR="00C20BB4" w:rsidRDefault="00D0501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50A2F" w:rsidRDefault="00850A2F" w:rsidP="00850A2F">
      <w:pPr>
        <w:widowControl w:val="0"/>
        <w:tabs>
          <w:tab w:val="right" w:pos="1008"/>
          <w:tab w:val="left" w:pos="1152"/>
          <w:tab w:val="left" w:pos="1872"/>
          <w:tab w:val="left" w:pos="9187"/>
        </w:tabs>
        <w:ind w:left="2088" w:hanging="2088"/>
        <w:jc w:val="left"/>
      </w:pPr>
      <w:r>
        <w:tab/>
        <w:t>4/22/2009</w:t>
      </w:r>
      <w:r>
        <w:tab/>
        <w:t>House</w:t>
      </w:r>
      <w:r>
        <w:tab/>
      </w:r>
      <w:r w:rsidRPr="000D4830">
        <w:t xml:space="preserve">Introduced and read first time </w:t>
      </w:r>
      <w:hyperlink r:id="rId7" w:history="1">
        <w:r w:rsidRPr="00453FC6">
          <w:rPr>
            <w:rStyle w:val="Hyperlink"/>
          </w:rPr>
          <w:t>HJ</w:t>
        </w:r>
      </w:hyperlink>
      <w:r>
        <w:noBreakHyphen/>
      </w:r>
      <w:r w:rsidRPr="000D4830">
        <w:t>61</w:t>
      </w:r>
    </w:p>
    <w:p w:rsidR="00850A2F" w:rsidRDefault="00850A2F" w:rsidP="00850A2F">
      <w:pPr>
        <w:widowControl w:val="0"/>
        <w:tabs>
          <w:tab w:val="right" w:pos="1008"/>
          <w:tab w:val="left" w:pos="1152"/>
          <w:tab w:val="left" w:pos="1872"/>
          <w:tab w:val="left" w:pos="9187"/>
        </w:tabs>
        <w:ind w:left="2088" w:hanging="2088"/>
        <w:jc w:val="left"/>
      </w:pPr>
      <w:r>
        <w:tab/>
        <w:t>4/22/2009</w:t>
      </w:r>
      <w:r>
        <w:tab/>
        <w:t>House</w:t>
      </w:r>
      <w:r>
        <w:tab/>
      </w:r>
      <w:r w:rsidRPr="000D4830">
        <w:t xml:space="preserve">Referred to Committee on </w:t>
      </w:r>
      <w:r w:rsidRPr="000D4830">
        <w:rPr>
          <w:b/>
        </w:rPr>
        <w:t>Judiciary</w:t>
      </w:r>
      <w:r w:rsidRPr="000D4830">
        <w:t xml:space="preserve"> </w:t>
      </w:r>
      <w:hyperlink r:id="rId8" w:history="1">
        <w:r w:rsidRPr="00453FC6">
          <w:rPr>
            <w:rStyle w:val="Hyperlink"/>
          </w:rPr>
          <w:t>HJ</w:t>
        </w:r>
      </w:hyperlink>
      <w:r>
        <w:noBreakHyphen/>
      </w:r>
      <w:r w:rsidRPr="000D4830">
        <w:t>62</w:t>
      </w:r>
    </w:p>
    <w:p w:rsidR="00850A2F" w:rsidRDefault="00850A2F" w:rsidP="00850A2F">
      <w:pPr>
        <w:widowControl w:val="0"/>
        <w:tabs>
          <w:tab w:val="right" w:pos="1008"/>
          <w:tab w:val="left" w:pos="1152"/>
          <w:tab w:val="left" w:pos="1872"/>
          <w:tab w:val="left" w:pos="9187"/>
        </w:tabs>
        <w:ind w:left="2088" w:hanging="2088"/>
        <w:jc w:val="left"/>
      </w:pPr>
      <w:r>
        <w:tab/>
        <w:t>4/23/2009</w:t>
      </w:r>
      <w:r>
        <w:tab/>
        <w:t>House</w:t>
      </w:r>
      <w:r>
        <w:tab/>
      </w:r>
      <w:r w:rsidRPr="000D4830">
        <w:t xml:space="preserve">Recalled from Committee on </w:t>
      </w:r>
      <w:r w:rsidRPr="000D4830">
        <w:rPr>
          <w:b/>
        </w:rPr>
        <w:t>Judiciary</w:t>
      </w:r>
      <w:r w:rsidRPr="000D4830">
        <w:t xml:space="preserve"> </w:t>
      </w:r>
      <w:hyperlink r:id="rId9" w:history="1">
        <w:r w:rsidRPr="00453FC6">
          <w:rPr>
            <w:rStyle w:val="Hyperlink"/>
          </w:rPr>
          <w:t>HJ</w:t>
        </w:r>
      </w:hyperlink>
      <w:r>
        <w:noBreakHyphen/>
      </w:r>
      <w:r w:rsidRPr="000D4830">
        <w:t>262</w:t>
      </w:r>
    </w:p>
    <w:p w:rsidR="00850A2F" w:rsidRDefault="00850A2F" w:rsidP="00850A2F">
      <w:pPr>
        <w:widowControl w:val="0"/>
        <w:tabs>
          <w:tab w:val="right" w:pos="1008"/>
          <w:tab w:val="left" w:pos="1152"/>
          <w:tab w:val="left" w:pos="1872"/>
          <w:tab w:val="left" w:pos="9187"/>
        </w:tabs>
        <w:ind w:left="2088" w:hanging="2088"/>
        <w:jc w:val="left"/>
      </w:pPr>
      <w:r>
        <w:tab/>
        <w:t>4/23/2009</w:t>
      </w:r>
      <w:r>
        <w:tab/>
        <w:t>House</w:t>
      </w:r>
      <w:r>
        <w:tab/>
      </w:r>
      <w:r w:rsidRPr="000D4830">
        <w:t>Referred to C</w:t>
      </w:r>
      <w:r>
        <w:t xml:space="preserve">ommittee on </w:t>
      </w:r>
      <w:r w:rsidRPr="000D4830">
        <w:rPr>
          <w:b/>
        </w:rPr>
        <w:t>Labor, Commerce and Industry</w:t>
      </w:r>
      <w:r w:rsidRPr="000D4830">
        <w:t xml:space="preserve"> </w:t>
      </w:r>
      <w:hyperlink r:id="rId10" w:history="1">
        <w:r w:rsidRPr="00453FC6">
          <w:rPr>
            <w:rStyle w:val="Hyperlink"/>
          </w:rPr>
          <w:t>HJ</w:t>
        </w:r>
      </w:hyperlink>
      <w:r>
        <w:noBreakHyphen/>
      </w:r>
      <w:r w:rsidRPr="000D4830">
        <w:t>262</w:t>
      </w:r>
    </w:p>
    <w:p w:rsidR="00850A2F" w:rsidRDefault="00850A2F" w:rsidP="00850A2F">
      <w:pPr>
        <w:widowControl w:val="0"/>
        <w:tabs>
          <w:tab w:val="right" w:pos="1008"/>
          <w:tab w:val="left" w:pos="1152"/>
          <w:tab w:val="left" w:pos="1872"/>
          <w:tab w:val="left" w:pos="9187"/>
        </w:tabs>
        <w:ind w:left="2088" w:hanging="2088"/>
        <w:jc w:val="left"/>
      </w:pPr>
      <w:r>
        <w:tab/>
        <w:t>4/30/2009</w:t>
      </w:r>
      <w:r>
        <w:tab/>
        <w:t>House</w:t>
      </w:r>
      <w:r>
        <w:tab/>
      </w:r>
      <w:r w:rsidRPr="000D4830">
        <w:t xml:space="preserve">Committee report: </w:t>
      </w:r>
      <w:r>
        <w:t xml:space="preserve">Favorable with amendment </w:t>
      </w:r>
      <w:r w:rsidRPr="000D4830">
        <w:rPr>
          <w:b/>
        </w:rPr>
        <w:t>Labor, Commerce and Industry</w:t>
      </w:r>
      <w:r w:rsidRPr="000D4830">
        <w:t xml:space="preserve"> </w:t>
      </w:r>
      <w:hyperlink r:id="rId11" w:history="1">
        <w:r w:rsidRPr="00453FC6">
          <w:rPr>
            <w:rStyle w:val="Hyperlink"/>
          </w:rPr>
          <w:t>HJ</w:t>
        </w:r>
      </w:hyperlink>
      <w:r>
        <w:noBreakHyphen/>
      </w:r>
      <w:r w:rsidRPr="000D4830">
        <w:t>4</w:t>
      </w:r>
    </w:p>
    <w:p w:rsidR="00850A2F" w:rsidRDefault="00850A2F" w:rsidP="00850A2F">
      <w:pPr>
        <w:widowControl w:val="0"/>
        <w:tabs>
          <w:tab w:val="right" w:pos="1008"/>
          <w:tab w:val="left" w:pos="1152"/>
          <w:tab w:val="left" w:pos="1872"/>
          <w:tab w:val="left" w:pos="9187"/>
        </w:tabs>
        <w:ind w:left="2088" w:hanging="2088"/>
        <w:jc w:val="left"/>
      </w:pPr>
      <w:r>
        <w:tab/>
        <w:t>5/5/2009</w:t>
      </w:r>
      <w:r>
        <w:tab/>
      </w:r>
      <w:r>
        <w:tab/>
      </w:r>
      <w:r w:rsidRPr="000D4830">
        <w:t>Scrivener's error corrected</w:t>
      </w:r>
    </w:p>
    <w:p w:rsidR="00850A2F" w:rsidRDefault="00850A2F" w:rsidP="00850A2F">
      <w:pPr>
        <w:widowControl w:val="0"/>
        <w:tabs>
          <w:tab w:val="right" w:pos="1008"/>
          <w:tab w:val="left" w:pos="1152"/>
          <w:tab w:val="left" w:pos="1872"/>
          <w:tab w:val="left" w:pos="9187"/>
        </w:tabs>
        <w:ind w:left="2088" w:hanging="2088"/>
        <w:jc w:val="left"/>
      </w:pPr>
      <w:r>
        <w:tab/>
        <w:t>5/13/2009</w:t>
      </w:r>
      <w:r>
        <w:tab/>
        <w:t>House</w:t>
      </w:r>
      <w:r>
        <w:tab/>
      </w:r>
      <w:r w:rsidRPr="000D4830">
        <w:t xml:space="preserve">Debate adjourned until Thursday, May 14, 2009 </w:t>
      </w:r>
      <w:hyperlink r:id="rId12" w:history="1">
        <w:r w:rsidRPr="00453FC6">
          <w:rPr>
            <w:rStyle w:val="Hyperlink"/>
          </w:rPr>
          <w:t>HJ</w:t>
        </w:r>
      </w:hyperlink>
      <w:r>
        <w:noBreakHyphen/>
      </w:r>
      <w:r w:rsidRPr="000D4830">
        <w:t>18</w:t>
      </w:r>
    </w:p>
    <w:p w:rsidR="00850A2F" w:rsidRDefault="00850A2F" w:rsidP="00850A2F">
      <w:pPr>
        <w:widowControl w:val="0"/>
        <w:tabs>
          <w:tab w:val="right" w:pos="1008"/>
          <w:tab w:val="left" w:pos="1152"/>
          <w:tab w:val="left" w:pos="1872"/>
          <w:tab w:val="left" w:pos="9187"/>
        </w:tabs>
        <w:ind w:left="2088" w:hanging="2088"/>
        <w:jc w:val="left"/>
      </w:pPr>
      <w:r>
        <w:tab/>
        <w:t>5/14/2009</w:t>
      </w:r>
      <w:r>
        <w:tab/>
        <w:t>House</w:t>
      </w:r>
      <w:r>
        <w:tab/>
      </w:r>
      <w:r w:rsidRPr="000D4830">
        <w:t xml:space="preserve">Debate adjourned until June 20, 2009 </w:t>
      </w:r>
      <w:hyperlink r:id="rId13" w:history="1">
        <w:r w:rsidRPr="00453FC6">
          <w:rPr>
            <w:rStyle w:val="Hyperlink"/>
          </w:rPr>
          <w:t>HJ</w:t>
        </w:r>
      </w:hyperlink>
      <w:r>
        <w:noBreakHyphen/>
      </w:r>
      <w:r w:rsidRPr="000D4830">
        <w:t>32</w:t>
      </w:r>
    </w:p>
    <w:p w:rsidR="00850A2F" w:rsidRDefault="00850A2F" w:rsidP="00850A2F">
      <w:pPr>
        <w:widowControl w:val="0"/>
        <w:tabs>
          <w:tab w:val="right" w:pos="1008"/>
          <w:tab w:val="left" w:pos="1152"/>
          <w:tab w:val="left" w:pos="1872"/>
          <w:tab w:val="left" w:pos="9187"/>
        </w:tabs>
        <w:ind w:left="2088" w:hanging="2088"/>
        <w:jc w:val="left"/>
      </w:pPr>
      <w:r>
        <w:tab/>
        <w:t>1/13/2010</w:t>
      </w:r>
      <w:r>
        <w:tab/>
        <w:t>House</w:t>
      </w:r>
      <w:r>
        <w:tab/>
      </w:r>
      <w:r w:rsidRPr="000D4830">
        <w:t xml:space="preserve">Debate adjourned until Thursday, January 14, 2010 </w:t>
      </w:r>
      <w:hyperlink r:id="rId14" w:history="1">
        <w:r w:rsidRPr="00453FC6">
          <w:rPr>
            <w:rStyle w:val="Hyperlink"/>
          </w:rPr>
          <w:t>HJ</w:t>
        </w:r>
      </w:hyperlink>
      <w:r>
        <w:noBreakHyphen/>
      </w:r>
      <w:r w:rsidRPr="000D4830">
        <w:t>27</w:t>
      </w:r>
    </w:p>
    <w:p w:rsidR="00850A2F" w:rsidRDefault="00850A2F" w:rsidP="00850A2F">
      <w:pPr>
        <w:widowControl w:val="0"/>
        <w:tabs>
          <w:tab w:val="right" w:pos="1008"/>
          <w:tab w:val="left" w:pos="1152"/>
          <w:tab w:val="left" w:pos="1872"/>
          <w:tab w:val="left" w:pos="9187"/>
        </w:tabs>
        <w:ind w:left="2088" w:hanging="2088"/>
        <w:jc w:val="left"/>
      </w:pPr>
      <w:r>
        <w:tab/>
        <w:t>1/14/2010</w:t>
      </w:r>
      <w:r>
        <w:tab/>
        <w:t>House</w:t>
      </w:r>
      <w:r>
        <w:tab/>
      </w:r>
      <w:r w:rsidRPr="000D4830">
        <w:t xml:space="preserve">Amended </w:t>
      </w:r>
      <w:hyperlink r:id="rId15" w:history="1">
        <w:r w:rsidRPr="00453FC6">
          <w:rPr>
            <w:rStyle w:val="Hyperlink"/>
          </w:rPr>
          <w:t>HJ</w:t>
        </w:r>
      </w:hyperlink>
      <w:r>
        <w:noBreakHyphen/>
      </w:r>
      <w:r w:rsidRPr="000D4830">
        <w:t>533</w:t>
      </w:r>
    </w:p>
    <w:p w:rsidR="00850A2F" w:rsidRDefault="00850A2F" w:rsidP="00850A2F">
      <w:pPr>
        <w:widowControl w:val="0"/>
        <w:tabs>
          <w:tab w:val="right" w:pos="1008"/>
          <w:tab w:val="left" w:pos="1152"/>
          <w:tab w:val="left" w:pos="1872"/>
          <w:tab w:val="left" w:pos="9187"/>
        </w:tabs>
        <w:ind w:left="2088" w:hanging="2088"/>
        <w:jc w:val="left"/>
      </w:pPr>
      <w:r>
        <w:tab/>
        <w:t>1/14/2010</w:t>
      </w:r>
      <w:r>
        <w:tab/>
        <w:t>House</w:t>
      </w:r>
      <w:r>
        <w:tab/>
      </w:r>
      <w:r w:rsidRPr="000D4830">
        <w:t xml:space="preserve">Read second time </w:t>
      </w:r>
      <w:hyperlink r:id="rId16" w:history="1">
        <w:r w:rsidRPr="00453FC6">
          <w:rPr>
            <w:rStyle w:val="Hyperlink"/>
          </w:rPr>
          <w:t>HJ</w:t>
        </w:r>
      </w:hyperlink>
      <w:r>
        <w:noBreakHyphen/>
      </w:r>
      <w:r w:rsidRPr="000D4830">
        <w:t>535</w:t>
      </w:r>
    </w:p>
    <w:p w:rsidR="00850A2F" w:rsidRDefault="00850A2F" w:rsidP="00850A2F">
      <w:pPr>
        <w:widowControl w:val="0"/>
        <w:tabs>
          <w:tab w:val="right" w:pos="1008"/>
          <w:tab w:val="left" w:pos="1152"/>
          <w:tab w:val="left" w:pos="1872"/>
          <w:tab w:val="left" w:pos="9187"/>
        </w:tabs>
        <w:ind w:left="2088" w:hanging="2088"/>
        <w:jc w:val="left"/>
      </w:pPr>
      <w:r>
        <w:tab/>
        <w:t>1/14/2010</w:t>
      </w:r>
      <w:r>
        <w:tab/>
        <w:t>House</w:t>
      </w:r>
      <w:r>
        <w:tab/>
      </w:r>
      <w:r w:rsidRPr="000D4830">
        <w:t>Unanimous co</w:t>
      </w:r>
      <w:r>
        <w:t xml:space="preserve">nsent for third reading on next </w:t>
      </w:r>
      <w:r w:rsidRPr="000D4830">
        <w:t xml:space="preserve">legislative day </w:t>
      </w:r>
      <w:hyperlink r:id="rId17" w:history="1">
        <w:r w:rsidRPr="00453FC6">
          <w:rPr>
            <w:rStyle w:val="Hyperlink"/>
          </w:rPr>
          <w:t>HJ</w:t>
        </w:r>
      </w:hyperlink>
      <w:r>
        <w:noBreakHyphen/>
      </w:r>
      <w:r w:rsidRPr="000D4830">
        <w:t>542</w:t>
      </w:r>
    </w:p>
    <w:p w:rsidR="00850A2F" w:rsidRDefault="00850A2F" w:rsidP="00850A2F">
      <w:pPr>
        <w:widowControl w:val="0"/>
        <w:tabs>
          <w:tab w:val="right" w:pos="1008"/>
          <w:tab w:val="left" w:pos="1152"/>
          <w:tab w:val="left" w:pos="1872"/>
          <w:tab w:val="left" w:pos="9187"/>
        </w:tabs>
        <w:ind w:left="2088" w:hanging="2088"/>
        <w:jc w:val="left"/>
      </w:pPr>
      <w:r>
        <w:tab/>
        <w:t>1/15/2010</w:t>
      </w:r>
      <w:r>
        <w:tab/>
        <w:t>House</w:t>
      </w:r>
      <w:r>
        <w:tab/>
      </w:r>
      <w:r w:rsidRPr="000D4830">
        <w:t xml:space="preserve">Read third time and sent to Senate </w:t>
      </w:r>
      <w:hyperlink r:id="rId18" w:history="1">
        <w:r w:rsidRPr="00453FC6">
          <w:rPr>
            <w:rStyle w:val="Hyperlink"/>
          </w:rPr>
          <w:t>HJ</w:t>
        </w:r>
      </w:hyperlink>
      <w:r>
        <w:noBreakHyphen/>
      </w:r>
      <w:r w:rsidRPr="000D4830">
        <w:t>1</w:t>
      </w:r>
    </w:p>
    <w:p w:rsidR="00850A2F" w:rsidRDefault="00850A2F" w:rsidP="00850A2F">
      <w:pPr>
        <w:widowControl w:val="0"/>
        <w:tabs>
          <w:tab w:val="right" w:pos="1008"/>
          <w:tab w:val="left" w:pos="1152"/>
          <w:tab w:val="left" w:pos="1872"/>
          <w:tab w:val="left" w:pos="9187"/>
        </w:tabs>
        <w:ind w:left="2088" w:hanging="2088"/>
        <w:jc w:val="left"/>
      </w:pPr>
      <w:r>
        <w:tab/>
        <w:t>1/19/2010</w:t>
      </w:r>
      <w:r>
        <w:tab/>
        <w:t>Senate</w:t>
      </w:r>
      <w:r>
        <w:tab/>
      </w:r>
      <w:r w:rsidRPr="000D4830">
        <w:t xml:space="preserve">Introduced and read first time </w:t>
      </w:r>
      <w:hyperlink r:id="rId19" w:history="1">
        <w:r w:rsidRPr="00453FC6">
          <w:rPr>
            <w:rStyle w:val="Hyperlink"/>
          </w:rPr>
          <w:t>SJ</w:t>
        </w:r>
      </w:hyperlink>
      <w:r>
        <w:noBreakHyphen/>
      </w:r>
      <w:r w:rsidRPr="000D4830">
        <w:t>8</w:t>
      </w:r>
    </w:p>
    <w:p w:rsidR="00850A2F" w:rsidRDefault="00850A2F" w:rsidP="00850A2F">
      <w:pPr>
        <w:widowControl w:val="0"/>
        <w:tabs>
          <w:tab w:val="right" w:pos="1008"/>
          <w:tab w:val="left" w:pos="1152"/>
          <w:tab w:val="left" w:pos="1872"/>
          <w:tab w:val="left" w:pos="9187"/>
        </w:tabs>
        <w:ind w:left="2088" w:hanging="2088"/>
        <w:jc w:val="left"/>
      </w:pPr>
      <w:r>
        <w:tab/>
        <w:t>1/19/2010</w:t>
      </w:r>
      <w:r>
        <w:tab/>
        <w:t>Senate</w:t>
      </w:r>
      <w:r>
        <w:tab/>
      </w:r>
      <w:r w:rsidRPr="000D4830">
        <w:t>Referred to C</w:t>
      </w:r>
      <w:r>
        <w:t xml:space="preserve">ommittee on </w:t>
      </w:r>
      <w:r w:rsidRPr="000D4830">
        <w:rPr>
          <w:b/>
        </w:rPr>
        <w:t>Labor, Commerce and Industry</w:t>
      </w:r>
      <w:r w:rsidRPr="000D4830">
        <w:t xml:space="preserve"> </w:t>
      </w:r>
      <w:hyperlink r:id="rId20" w:history="1">
        <w:r w:rsidRPr="00453FC6">
          <w:rPr>
            <w:rStyle w:val="Hyperlink"/>
          </w:rPr>
          <w:t>SJ</w:t>
        </w:r>
      </w:hyperlink>
      <w:r>
        <w:noBreakHyphen/>
      </w:r>
      <w:r w:rsidRPr="000D4830">
        <w:t>8</w:t>
      </w:r>
    </w:p>
    <w:p w:rsidR="00850A2F" w:rsidRDefault="00850A2F" w:rsidP="00850A2F">
      <w:pPr>
        <w:widowControl w:val="0"/>
        <w:tabs>
          <w:tab w:val="right" w:pos="1008"/>
          <w:tab w:val="left" w:pos="1152"/>
          <w:tab w:val="left" w:pos="1872"/>
          <w:tab w:val="left" w:pos="9187"/>
        </w:tabs>
        <w:ind w:left="2088" w:hanging="2088"/>
        <w:jc w:val="left"/>
      </w:pPr>
    </w:p>
    <w:p w:rsidR="00C20BB4" w:rsidRDefault="00C20BB4">
      <w:pPr>
        <w:widowControl w:val="0"/>
        <w:tabs>
          <w:tab w:val="right" w:pos="1008"/>
          <w:tab w:val="left" w:pos="1152"/>
          <w:tab w:val="left" w:pos="1872"/>
          <w:tab w:val="left" w:pos="9187"/>
        </w:tabs>
        <w:ind w:left="2088" w:hanging="2088"/>
        <w:jc w:val="left"/>
      </w:pPr>
    </w:p>
    <w:p w:rsidR="00C20BB4" w:rsidRDefault="00D0501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C20BB4" w:rsidRDefault="00C20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20BB4" w:rsidRDefault="00162E9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21" w:history="1">
        <w:r w:rsidR="00D05017">
          <w:rPr>
            <w:rStyle w:val="Hyperlink"/>
          </w:rPr>
          <w:t>4/22/2009</w:t>
        </w:r>
      </w:hyperlink>
    </w:p>
    <w:p w:rsidR="00C20BB4" w:rsidRDefault="00162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2" w:history="1">
        <w:r w:rsidR="00D05017">
          <w:rPr>
            <w:rStyle w:val="Hyperlink"/>
          </w:rPr>
          <w:t>4/30/2009</w:t>
        </w:r>
      </w:hyperlink>
    </w:p>
    <w:p w:rsidR="00C20BB4" w:rsidRDefault="00162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3" w:history="1">
        <w:r w:rsidR="00D05017">
          <w:rPr>
            <w:rStyle w:val="Hyperlink"/>
          </w:rPr>
          <w:t>5/5/2009</w:t>
        </w:r>
      </w:hyperlink>
    </w:p>
    <w:p w:rsidR="00EB318A" w:rsidRDefault="00162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4" w:history="1">
        <w:r w:rsidR="00EB318A" w:rsidRPr="00EB318A">
          <w:rPr>
            <w:rStyle w:val="Hyperlink"/>
          </w:rPr>
          <w:t>1/14/2010</w:t>
        </w:r>
      </w:hyperlink>
    </w:p>
    <w:p w:rsidR="00C20BB4" w:rsidRDefault="00C2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BB4" w:rsidRDefault="00C2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20BB4">
          <w:pgSz w:w="12240" w:h="15840" w:code="1"/>
          <w:pgMar w:top="1080" w:right="1440" w:bottom="1080" w:left="1440" w:header="720" w:footer="720" w:gutter="0"/>
          <w:cols w:space="720"/>
          <w:noEndnote/>
          <w:docGrid w:linePitch="360"/>
        </w:sect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B318A" w:rsidRPr="004037E4"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14, 2010</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Pr="004037E4" w:rsidRDefault="00EB318A" w:rsidP="004037E4">
      <w:pPr>
        <w:tabs>
          <w:tab w:val="right" w:pos="5933"/>
        </w:tabs>
        <w:suppressAutoHyphens/>
      </w:pPr>
      <w:r>
        <w:tab/>
      </w:r>
      <w:r>
        <w:rPr>
          <w:b/>
          <w:sz w:val="36"/>
        </w:rPr>
        <w:t>H. 3941</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Hayes, Gambrell, Agnew, Bowen, Gullick and D.C. Moss</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1/14/10--H.</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2009.</w:t>
      </w:r>
    </w:p>
    <w:p w:rsidR="00EB318A" w:rsidRPr="004037E4" w:rsidRDefault="00EB318A"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318A" w:rsidSect="00EA7FA3">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56, TITLE 40, CODE OF LAWS OF SOUTH CAROLINA, 1976, RELATING TO THE STATE BOARD OF PYROTECHNIC REGULATIONS, SO AS TO REVISE THE CHAPTER TITLE, TO PROVIDE STATE POLICY CONCERNING PYROTECHNICS, TO INCREASE THE STATE BOARD OF PYROTECHNIC SAFETY FROM SIX TO SEVEN MEMBERS, TO DEFINE TERMS, TO REQUIRE LICENSURE FOR THE MANUFACTURING, SALE, OR STORAGE OF FIREWORKS, TO AUTHORIZE THE DEPARTMENT OF LABOR, LICENSING AND REGULATION, FIRE CHIEFS, AND LAW ENFORCEMENT OFFICERS TO INVESTIGATE COMPLAINTS, TO PROVIDE GROUNDS FOR DISCIPLINARY ACTION, TO REQUIRE LIABILITY INSURANCE, TO REQUIRE REPORTING OF FIRES AND EXPLOSIONS, TO PROVIDE CRIMINAL AND CIVIL PENALTIES FOR VIOLATIONS, AND TO FURTHER PROVIDE FOR THE LICENSURE AND REGULATION OF PERSONS HANDLING FIREWORKS.</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40 of the 1976 Code is amended to read:</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“CHAPTER 56</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State Board of Pyrotechnic </w:t>
      </w:r>
      <w:r>
        <w:rPr>
          <w:strike/>
          <w:szCs w:val="24"/>
        </w:rPr>
        <w:t>Regulations</w:t>
      </w:r>
      <w:r>
        <w:rPr>
          <w:szCs w:val="24"/>
        </w:rPr>
        <w:t xml:space="preserve"> </w:t>
      </w:r>
      <w:r>
        <w:rPr>
          <w:szCs w:val="24"/>
          <w:u w:val="single"/>
        </w:rPr>
        <w:t>Safety</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the policy of this State, and the purpose of this chapter, to promote the safety of the public and the environment by effective regulation of pyrotechnics. Public safety requires that persons who handle pyrotechnics have demonstrated their qualifications, that they adhere to reliable safety standards, and that the sites where pyrotechnics are manufactured, stored, and sold adhere to reliable safety standards. It is neither the policy of this State nor the purpose of this chapter to place undue restrictions upon entry into the business of handling pyrotechnics.</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for in this chapter, Chapter 1, Title 40 applies to the Board of Pyrotechnic Safety and licensees regulated under this chapter. If there is a conflict between this chapter and Chapter 1, the provisions of this chapter control.</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56</w:t>
      </w:r>
      <w:r>
        <w:rPr>
          <w:szCs w:val="24"/>
        </w:rPr>
        <w:noBreakHyphen/>
        <w:t>10.</w:t>
      </w:r>
      <w:r>
        <w:rPr>
          <w:szCs w:val="24"/>
        </w:rPr>
        <w:tab/>
      </w:r>
      <w:r>
        <w:rPr>
          <w:szCs w:val="24"/>
          <w:u w:val="single"/>
        </w:rPr>
        <w:t>(A)</w:t>
      </w:r>
      <w:r>
        <w:rPr>
          <w:szCs w:val="24"/>
        </w:rPr>
        <w:tab/>
      </w:r>
      <w:r>
        <w:rPr>
          <w:strike/>
          <w:szCs w:val="24"/>
        </w:rPr>
        <w:t>There is created</w:t>
      </w:r>
      <w:r>
        <w:rPr>
          <w:szCs w:val="24"/>
        </w:rPr>
        <w:t xml:space="preserve"> </w:t>
      </w:r>
      <w:r>
        <w:rPr>
          <w:szCs w:val="24"/>
        </w:rPr>
        <w:tab/>
        <w:t xml:space="preserve">The State Board of Pyrotechnic Safety </w:t>
      </w:r>
      <w:r>
        <w:rPr>
          <w:strike/>
          <w:szCs w:val="24"/>
        </w:rPr>
        <w:t>to be</w:t>
      </w:r>
      <w:r>
        <w:rPr>
          <w:szCs w:val="24"/>
        </w:rPr>
        <w:t xml:space="preserve"> </w:t>
      </w:r>
      <w:r>
        <w:rPr>
          <w:szCs w:val="24"/>
          <w:u w:val="single"/>
        </w:rPr>
        <w:t>is</w:t>
      </w:r>
      <w:r>
        <w:rPr>
          <w:szCs w:val="24"/>
        </w:rPr>
        <w:t xml:space="preserve"> composed of </w:t>
      </w:r>
      <w:r>
        <w:rPr>
          <w:strike/>
          <w:szCs w:val="24"/>
        </w:rPr>
        <w:t>six</w:t>
      </w:r>
      <w:r>
        <w:rPr>
          <w:szCs w:val="24"/>
        </w:rPr>
        <w:t xml:space="preserve"> </w:t>
      </w:r>
      <w:r>
        <w:rPr>
          <w:szCs w:val="24"/>
          <w:u w:val="single"/>
        </w:rPr>
        <w:t>seven</w:t>
      </w:r>
      <w:r>
        <w:rPr>
          <w:szCs w:val="24"/>
        </w:rPr>
        <w:t xml:space="preserve"> members appointed by the Governor.  One of the appointees must be </w:t>
      </w:r>
      <w:r>
        <w:rPr>
          <w:strike/>
          <w:szCs w:val="24"/>
        </w:rPr>
        <w:t>a fireman</w:t>
      </w:r>
      <w:r>
        <w:rPr>
          <w:szCs w:val="24"/>
        </w:rPr>
        <w:t xml:space="preserve"> </w:t>
      </w:r>
      <w:r>
        <w:rPr>
          <w:szCs w:val="24"/>
          <w:u w:val="single"/>
        </w:rPr>
        <w:t>employed by a local fire authority</w:t>
      </w:r>
      <w:r>
        <w:rPr>
          <w:szCs w:val="24"/>
        </w:rPr>
        <w:t xml:space="preserve">, one must be a pyrotechnics </w:t>
      </w:r>
      <w:r>
        <w:rPr>
          <w:strike/>
          <w:szCs w:val="24"/>
        </w:rPr>
        <w:t>retailer</w:t>
      </w:r>
      <w:r>
        <w:rPr>
          <w:szCs w:val="24"/>
        </w:rPr>
        <w:t xml:space="preserve"> </w:t>
      </w:r>
      <w:r>
        <w:rPr>
          <w:szCs w:val="24"/>
          <w:u w:val="single"/>
        </w:rPr>
        <w:t>wholesaler</w:t>
      </w:r>
      <w:r>
        <w:rPr>
          <w:szCs w:val="24"/>
        </w:rPr>
        <w:t xml:space="preserve">, one must be a law enforcement representative, </w:t>
      </w:r>
      <w:r>
        <w:rPr>
          <w:szCs w:val="24"/>
          <w:u w:val="single"/>
        </w:rPr>
        <w:t>one must be a fireworks retailer,</w:t>
      </w:r>
      <w:r>
        <w:rPr>
          <w:szCs w:val="24"/>
        </w:rPr>
        <w:t xml:space="preserve"> and </w:t>
      </w:r>
      <w:r>
        <w:rPr>
          <w:strike/>
          <w:szCs w:val="24"/>
        </w:rPr>
        <w:t>three</w:t>
      </w:r>
      <w:r>
        <w:rPr>
          <w:szCs w:val="24"/>
        </w:rPr>
        <w:t xml:space="preserve"> </w:t>
      </w:r>
      <w:r w:rsidRPr="00EA7FA3">
        <w:t>three</w:t>
      </w:r>
      <w:r>
        <w:rPr>
          <w:szCs w:val="24"/>
        </w:rPr>
        <w:t xml:space="preserve"> must be members of the public who </w:t>
      </w:r>
      <w:r>
        <w:rPr>
          <w:strike/>
          <w:szCs w:val="24"/>
        </w:rPr>
        <w:t>shall</w:t>
      </w:r>
      <w:r>
        <w:rPr>
          <w:szCs w:val="24"/>
        </w:rPr>
        <w:t xml:space="preserve"> </w:t>
      </w:r>
      <w:r>
        <w:rPr>
          <w:szCs w:val="24"/>
          <w:u w:val="single"/>
        </w:rPr>
        <w:t>do</w:t>
      </w:r>
      <w:r>
        <w:rPr>
          <w:szCs w:val="24"/>
        </w:rPr>
        <w:t xml:space="preserve"> not possess any pecuniary interest in any entity engaged in a business directly involving the sale of pyrotechnics.  </w:t>
      </w:r>
      <w:r w:rsidRPr="008C415F">
        <w:t>A seat on the board that remains vacant for sixty days must be filled through an appointment by majority vote of the chairman of the House Labor, Commerce and Industry Committee, the Senate Labor, Commerce and Industry Committee, and the State Fire Marshall.</w:t>
      </w:r>
      <w:r>
        <w:rPr>
          <w:szCs w:val="24"/>
        </w:rPr>
        <w:t xml:space="preserve">  </w:t>
      </w:r>
      <w:r>
        <w:rPr>
          <w:strike/>
          <w:szCs w:val="24"/>
        </w:rPr>
        <w:t>The board shall elect from its members a chairman, vice</w:t>
      </w:r>
      <w:r>
        <w:rPr>
          <w:strike/>
          <w:szCs w:val="24"/>
        </w:rPr>
        <w:noBreakHyphen/>
        <w:t>chairman, and such other officers as it may consider necessary to serve for terms of one year and until their successors are elected and qualify.</w:t>
      </w:r>
      <w:r>
        <w:rPr>
          <w:szCs w:val="24"/>
        </w:rPr>
        <w:t xml:space="preserve"> </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w:t>
      </w:r>
      <w:r>
        <w:rPr>
          <w:szCs w:val="24"/>
        </w:rPr>
        <w:t xml:space="preserve"> terms of office for members are for </w:t>
      </w:r>
      <w:r>
        <w:rPr>
          <w:strike/>
          <w:szCs w:val="24"/>
        </w:rPr>
        <w:t>two</w:t>
      </w:r>
      <w:r>
        <w:rPr>
          <w:szCs w:val="24"/>
        </w:rPr>
        <w:t xml:space="preserve"> </w:t>
      </w:r>
      <w:r>
        <w:rPr>
          <w:szCs w:val="24"/>
          <w:u w:val="single"/>
        </w:rPr>
        <w:t>four</w:t>
      </w:r>
      <w:r>
        <w:rPr>
          <w:szCs w:val="24"/>
        </w:rPr>
        <w:t xml:space="preserve"> years and until their successors are appointed and </w:t>
      </w:r>
      <w:r>
        <w:rPr>
          <w:strike/>
          <w:szCs w:val="24"/>
        </w:rPr>
        <w:t>qualify</w:t>
      </w:r>
      <w:r>
        <w:rPr>
          <w:szCs w:val="24"/>
        </w:rPr>
        <w:t xml:space="preserve"> </w:t>
      </w:r>
      <w:r>
        <w:rPr>
          <w:szCs w:val="24"/>
          <w:u w:val="single"/>
        </w:rPr>
        <w:t>qualified</w:t>
      </w:r>
      <w:r>
        <w:rPr>
          <w:szCs w:val="24"/>
        </w:rPr>
        <w:t xml:space="preserve">.  Vacancies must be filled in the manner of </w:t>
      </w:r>
      <w:r>
        <w:rPr>
          <w:szCs w:val="24"/>
          <w:u w:val="single"/>
        </w:rPr>
        <w:t>the</w:t>
      </w:r>
      <w:r>
        <w:rPr>
          <w:szCs w:val="24"/>
        </w:rPr>
        <w:t xml:space="preserve"> original appointment for the unexpired </w:t>
      </w:r>
      <w:r>
        <w:rPr>
          <w:szCs w:val="24"/>
          <w:u w:val="single"/>
        </w:rPr>
        <w:t>portion of the</w:t>
      </w:r>
      <w:r>
        <w:rPr>
          <w:szCs w:val="24"/>
        </w:rPr>
        <w:t xml:space="preserve"> term.  </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board shall meet at least annually and not more than once </w:t>
      </w:r>
      <w:r>
        <w:rPr>
          <w:strike/>
          <w:szCs w:val="24"/>
        </w:rPr>
        <w:t>per</w:t>
      </w:r>
      <w:r>
        <w:rPr>
          <w:szCs w:val="24"/>
        </w:rPr>
        <w:t xml:space="preserve"> </w:t>
      </w:r>
      <w:r>
        <w:rPr>
          <w:szCs w:val="24"/>
          <w:u w:val="single"/>
        </w:rPr>
        <w:t>each</w:t>
      </w:r>
      <w:r>
        <w:rPr>
          <w:szCs w:val="24"/>
        </w:rPr>
        <w:t xml:space="preserve"> month.  All meetings must be scheduled at the call of the chairman. </w:t>
      </w:r>
      <w:r>
        <w:rPr>
          <w:szCs w:val="24"/>
          <w:u w:val="single"/>
        </w:rPr>
        <w:t>The board shall elect from its members a chairman, vice chairman, and other officers as it considers necessary to serve for terms of one year and until their successors are elected and qualified.</w:t>
      </w:r>
      <w:r>
        <w:rPr>
          <w:szCs w:val="24"/>
        </w:rPr>
        <w:t xml:space="preserve"> All members shall receive mileage, per diem, and subsistence as provided by law for members of </w:t>
      </w:r>
      <w:r>
        <w:rPr>
          <w:szCs w:val="24"/>
          <w:u w:val="single"/>
        </w:rPr>
        <w:t>state</w:t>
      </w:r>
      <w:r>
        <w:rPr>
          <w:szCs w:val="24"/>
        </w:rPr>
        <w:t xml:space="preserve"> boards, committees, and commissions for days on which they are transacting official business, to be paid from the general fund of the State.  </w:t>
      </w:r>
      <w:r>
        <w:rPr>
          <w:strike/>
          <w:szCs w:val="24"/>
        </w:rPr>
        <w:t>The Director of the Department of Labor, Licensing, and Regulation, pursuant to Section 40</w:t>
      </w:r>
      <w:r>
        <w:rPr>
          <w:strike/>
          <w:szCs w:val="24"/>
        </w:rPr>
        <w:noBreakHyphen/>
        <w:t>73</w:t>
      </w:r>
      <w:r>
        <w:rPr>
          <w:strike/>
          <w:szCs w:val="24"/>
        </w:rPr>
        <w:noBreakHyphen/>
        <w:t>15, shall employ such personnel as necessary to carry out the duties of the board.</w:t>
      </w:r>
      <w:r>
        <w:rPr>
          <w:szCs w:val="24"/>
        </w:rPr>
        <w:t xml:space="preserve"> </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The Department’s Office of State Fire Marshal shall provide administrative support as required by the board to perform its prescribed functions.  The State Fire Marshal is an official consultant and is authorized to attend all meetings.</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56</w:t>
      </w:r>
      <w:r>
        <w:rPr>
          <w:szCs w:val="24"/>
        </w:rPr>
        <w:noBreakHyphen/>
        <w:t>20.</w:t>
      </w:r>
      <w:r>
        <w:rPr>
          <w:szCs w:val="24"/>
        </w:rPr>
        <w:tab/>
      </w:r>
      <w:r>
        <w:rPr>
          <w:szCs w:val="24"/>
          <w:u w:val="single"/>
        </w:rPr>
        <w:t>As used in this chapter:</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‘APA’ means the American Pyrotechnics Association.</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‘Board’ means the State Board of Pyrotechnic Safety.</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‘Consumer fireworks’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Pr>
          <w:rFonts w:eastAsiaTheme="minorHAnsi"/>
          <w:color w:val="000000" w:themeColor="text1"/>
          <w:szCs w:val="22"/>
          <w:u w:val="single" w:color="000000" w:themeColor="text1"/>
        </w:rPr>
        <w:noBreakHyphen/>
        <w:t>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 classified as fireworks UN0336,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‘Class C Fireworks’.</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‘CPSC’ means The U.S. Consumer Product Safety Commission.</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‘Department’ means the Department of Labor, Licensing and Regulation.</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‘Display fireworks’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‘consumer fireworks’.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‘Class B Fireworks’.</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‘DOT’ means the U.S. Department of Transportation.</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means any composition or device designed to produce a visible or an audible effect by combustion, deflagration, or detonation, and which meets the definition of ‘consumer fireworks’ or ‘display fireworks’ as defined by this section.</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firm, or entity that has been issued a license by the board under the provisions of this chapter to manufacture, sell, or store fireworks.</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‘NFPA’ means National Fire Protection Association.</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‘Pyrotechnics’ means any composition or device designed to produce visible or audible effects for entertainment purposes by combustion, deflagration, or detonation.</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to engage in the manufacturing, storage, or sale of pyrotechnics unless in compliance with this chapter.</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Pr="00BD64BD" w:rsidRDefault="00EB318A"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rFonts w:eastAsiaTheme="minorHAnsi"/>
          <w:color w:val="000000" w:themeColor="text1"/>
          <w:szCs w:val="22"/>
          <w:u w:color="000000" w:themeColor="text1"/>
        </w:rPr>
        <w:tab/>
      </w:r>
      <w:r w:rsidRPr="00BD64BD">
        <w:rPr>
          <w:u w:val="single" w:color="000000" w:themeColor="text1"/>
        </w:rPr>
        <w:t>Section 40</w:t>
      </w:r>
      <w:r w:rsidRPr="00BD64BD">
        <w:rPr>
          <w:u w:val="single" w:color="000000" w:themeColor="text1"/>
        </w:rPr>
        <w:noBreakHyphen/>
        <w:t>56</w:t>
      </w:r>
      <w:r w:rsidRPr="00BD64BD">
        <w:rPr>
          <w:u w:val="single" w:color="000000" w:themeColor="text1"/>
        </w:rPr>
        <w:noBreakHyphen/>
        <w:t>35.</w:t>
      </w:r>
      <w:r w:rsidRPr="00BD64BD">
        <w:rPr>
          <w:u w:color="000000" w:themeColor="text1"/>
        </w:rPr>
        <w:tab/>
      </w:r>
      <w:r w:rsidRPr="00BD64BD">
        <w:rPr>
          <w:u w:val="single" w:color="000000" w:themeColor="text1"/>
        </w:rPr>
        <w:t>(A)</w:t>
      </w:r>
      <w:r w:rsidRPr="00BD64BD">
        <w:rPr>
          <w:u w:color="000000" w:themeColor="text1"/>
        </w:rPr>
        <w:tab/>
      </w:r>
      <w:r w:rsidRPr="00BD64BD">
        <w:rPr>
          <w:u w:val="single" w:color="000000" w:themeColor="text1"/>
        </w:rPr>
        <w:t>Except as otherwise provided for in this section, a person, firm or entity that manufactures, sells, or stores fireworks shall obtain a license issued by the board pursuant to this chapter.  General license requirements are as follows:</w:t>
      </w:r>
    </w:p>
    <w:p w:rsidR="00EB318A" w:rsidRPr="00BD64BD" w:rsidRDefault="00EB318A"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4BD">
        <w:rPr>
          <w:u w:color="000000" w:themeColor="text1"/>
        </w:rPr>
        <w:tab/>
      </w:r>
      <w:r w:rsidRPr="00BD64BD">
        <w:rPr>
          <w:u w:color="000000" w:themeColor="text1"/>
        </w:rPr>
        <w:tab/>
      </w:r>
      <w:r w:rsidRPr="00BD64BD">
        <w:rPr>
          <w:u w:val="single" w:color="000000" w:themeColor="text1"/>
        </w:rPr>
        <w:t>(1)</w:t>
      </w:r>
      <w:r w:rsidRPr="00BD64BD">
        <w:rPr>
          <w:u w:color="000000" w:themeColor="text1"/>
        </w:rPr>
        <w:tab/>
      </w:r>
      <w:r w:rsidRPr="00BD64BD">
        <w:rPr>
          <w:u w:val="single" w:color="000000" w:themeColor="text1"/>
        </w:rPr>
        <w:t>An application for licensure must be submitted on forms prescribed by the board accompanied by applicable fees.</w:t>
      </w:r>
    </w:p>
    <w:p w:rsidR="00EB318A" w:rsidRPr="00BD64BD" w:rsidRDefault="00EB318A"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4BD">
        <w:rPr>
          <w:u w:color="000000" w:themeColor="text1"/>
        </w:rPr>
        <w:tab/>
      </w:r>
      <w:r w:rsidRPr="00BD64BD">
        <w:rPr>
          <w:u w:color="000000" w:themeColor="text1"/>
        </w:rPr>
        <w:tab/>
      </w:r>
      <w:r w:rsidRPr="00BD64BD">
        <w:rPr>
          <w:u w:val="single" w:color="000000" w:themeColor="text1"/>
        </w:rPr>
        <w:t>(2)</w:t>
      </w:r>
      <w:r w:rsidRPr="00BD64BD">
        <w:rPr>
          <w:u w:color="000000" w:themeColor="text1"/>
        </w:rPr>
        <w:tab/>
      </w:r>
      <w:r w:rsidRPr="00BD64BD">
        <w:rPr>
          <w:u w:val="single" w:color="000000" w:themeColor="text1"/>
        </w:rPr>
        <w:t xml:space="preserve">A license is required for each physical address or site at which fireworks are manufactured, sold, or stored. </w:t>
      </w:r>
    </w:p>
    <w:p w:rsidR="00EB318A" w:rsidRPr="00BD64BD" w:rsidRDefault="00EB318A"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4BD">
        <w:rPr>
          <w:u w:color="000000" w:themeColor="text1"/>
        </w:rPr>
        <w:tab/>
      </w:r>
      <w:r w:rsidRPr="00BD64BD">
        <w:rPr>
          <w:u w:color="000000" w:themeColor="text1"/>
        </w:rPr>
        <w:tab/>
      </w:r>
      <w:r w:rsidRPr="00BD64BD">
        <w:rPr>
          <w:u w:val="single" w:color="000000" w:themeColor="text1"/>
        </w:rPr>
        <w:t>(3)</w:t>
      </w:r>
      <w:r w:rsidRPr="00BD64BD">
        <w:rPr>
          <w:u w:color="000000" w:themeColor="text1"/>
        </w:rPr>
        <w:tab/>
      </w:r>
      <w:r w:rsidRPr="00BD64BD">
        <w:rPr>
          <w:u w:val="single" w:color="000000" w:themeColor="text1"/>
        </w:rPr>
        <w:t>A copy of the appropriate license issued by the South Carolina Department of Revenue for retail sales of fireworks must accompany each application for a retail fireworks sales license.</w:t>
      </w:r>
    </w:p>
    <w:p w:rsidR="00EB318A" w:rsidRPr="00BD64BD" w:rsidRDefault="00EB318A"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4BD">
        <w:rPr>
          <w:u w:color="000000" w:themeColor="text1"/>
        </w:rPr>
        <w:tab/>
      </w:r>
      <w:r w:rsidRPr="00BD64BD">
        <w:rPr>
          <w:u w:color="000000" w:themeColor="text1"/>
        </w:rPr>
        <w:tab/>
      </w:r>
      <w:r w:rsidRPr="00BD64BD">
        <w:rPr>
          <w:u w:val="single" w:color="000000" w:themeColor="text1"/>
        </w:rPr>
        <w:t>(4)</w:t>
      </w:r>
      <w:r w:rsidRPr="00BD64BD">
        <w:rPr>
          <w:u w:color="000000" w:themeColor="text1"/>
        </w:rPr>
        <w:tab/>
      </w:r>
      <w:r w:rsidRPr="00BD64BD">
        <w:rPr>
          <w:u w:val="single" w:color="000000" w:themeColor="text1"/>
        </w:rPr>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rsidR="00EB318A" w:rsidRPr="00BD64BD" w:rsidRDefault="00EB318A"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4BD">
        <w:rPr>
          <w:u w:color="000000" w:themeColor="text1"/>
        </w:rPr>
        <w:tab/>
      </w:r>
      <w:r w:rsidRPr="00BD64BD">
        <w:rPr>
          <w:u w:color="000000" w:themeColor="text1"/>
        </w:rPr>
        <w:tab/>
      </w:r>
      <w:r w:rsidRPr="00BD64BD">
        <w:rPr>
          <w:u w:val="single" w:color="000000" w:themeColor="text1"/>
        </w:rPr>
        <w:t>(5)</w:t>
      </w:r>
      <w:r w:rsidRPr="00BD64BD">
        <w:rPr>
          <w:u w:color="000000" w:themeColor="text1"/>
        </w:rPr>
        <w:tab/>
      </w:r>
      <w:r w:rsidRPr="00BD64BD">
        <w:rPr>
          <w:u w:val="single" w:color="000000" w:themeColor="text1"/>
        </w:rPr>
        <w:t xml:space="preserve">All licenses and permits may only be issued for one calendar year. </w:t>
      </w:r>
    </w:p>
    <w:p w:rsidR="00EB318A" w:rsidRPr="00BD64BD" w:rsidRDefault="00EB318A"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4BD">
        <w:rPr>
          <w:u w:color="000000" w:themeColor="text1"/>
        </w:rPr>
        <w:tab/>
      </w:r>
      <w:r w:rsidRPr="00BD64BD">
        <w:rPr>
          <w:u w:color="000000" w:themeColor="text1"/>
        </w:rPr>
        <w:tab/>
      </w:r>
      <w:r w:rsidRPr="00BD64BD">
        <w:rPr>
          <w:u w:val="single" w:color="000000" w:themeColor="text1"/>
        </w:rPr>
        <w:t>(6)</w:t>
      </w:r>
      <w:r w:rsidRPr="00BD64BD">
        <w:rPr>
          <w:u w:color="000000" w:themeColor="text1"/>
        </w:rPr>
        <w:tab/>
      </w:r>
      <w:r w:rsidRPr="00BD64BD">
        <w:rPr>
          <w:u w:val="single" w:color="000000" w:themeColor="text1"/>
        </w:rPr>
        <w:t>Licenses must be prominently displayed at the licensee’s place of business approved for the manufacture, sales, or storage of fireworks.</w:t>
      </w:r>
    </w:p>
    <w:p w:rsidR="00EB318A" w:rsidRPr="00BD64BD" w:rsidRDefault="00EB318A"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4BD">
        <w:rPr>
          <w:u w:color="000000" w:themeColor="text1"/>
        </w:rPr>
        <w:tab/>
      </w:r>
      <w:r w:rsidRPr="00BD64BD">
        <w:rPr>
          <w:u w:color="000000" w:themeColor="text1"/>
        </w:rPr>
        <w:tab/>
      </w:r>
      <w:r w:rsidRPr="00BD64BD">
        <w:rPr>
          <w:u w:val="single" w:color="000000" w:themeColor="text1"/>
        </w:rPr>
        <w:t>(7)</w:t>
      </w:r>
      <w:r w:rsidRPr="00BD64BD">
        <w:rPr>
          <w:u w:color="000000" w:themeColor="text1"/>
        </w:rPr>
        <w:tab/>
      </w:r>
      <w:r w:rsidRPr="00BD64BD">
        <w:rPr>
          <w:u w:val="single" w:color="000000" w:themeColor="text1"/>
        </w:rPr>
        <w:t xml:space="preserve">Licenses issued by the board are nontransferable. </w:t>
      </w:r>
    </w:p>
    <w:p w:rsidR="00EB318A" w:rsidRDefault="00EB318A"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BD64BD">
        <w:rPr>
          <w:u w:color="000000" w:themeColor="text1"/>
        </w:rPr>
        <w:tab/>
      </w:r>
      <w:r w:rsidRPr="00BD64BD">
        <w:rPr>
          <w:u w:color="000000" w:themeColor="text1"/>
        </w:rPr>
        <w:tab/>
      </w:r>
      <w:r w:rsidRPr="00BD64BD">
        <w:rPr>
          <w:u w:val="single" w:color="000000" w:themeColor="text1"/>
        </w:rPr>
        <w:t>(8)</w:t>
      </w:r>
      <w:r w:rsidRPr="00BD64BD">
        <w:rPr>
          <w:u w:color="000000" w:themeColor="text1"/>
        </w:rPr>
        <w:tab/>
      </w:r>
      <w:r w:rsidRPr="00BD64BD">
        <w:rPr>
          <w:u w:val="single" w:color="000000" w:themeColor="text1"/>
        </w:rPr>
        <w:t>The board shall set fees for licenses and other incurred administrative costs.</w:t>
      </w:r>
      <w:r w:rsidRPr="00BD64BD">
        <w:rPr>
          <w:u w:color="000000" w:themeColor="text1"/>
        </w:rPr>
        <w:t xml:space="preserve"> </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is not required for:</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manufacture, sale, storage, transportation, handling, or any combination of these, including, but not limited to, railroad torpedoes, automotive, aeronautical, and marine flares and smoke signals; </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transportation, storage, handling, or use of fireworks, or any combination of these, by the Armed Forces of the United States; </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transportation, handling, or use of fireworks, or any combination of these, by the State Fire Marshal, his employees, or any commissioned law enforcement officers acting within their official capacities; or</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deregulated by the U.S. Department of Transportation.</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provide all administrative, fiscal, investigative, inspection, clerical, secretarial, and license renewal operations and activities of the board pursuant to Chapter 1.</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szCs w:val="24"/>
          <w:u w:val="single"/>
        </w:rPr>
        <w:t>Section 40</w:t>
      </w:r>
      <w:r>
        <w:rPr>
          <w:szCs w:val="24"/>
          <w:u w:val="single"/>
        </w:rPr>
        <w:noBreakHyphen/>
        <w:t>56</w:t>
      </w:r>
      <w:r>
        <w:rPr>
          <w:szCs w:val="24"/>
          <w:u w:val="single"/>
        </w:rPr>
        <w:noBreakHyphen/>
        <w:t>70.</w:t>
      </w:r>
      <w:r>
        <w:rPr>
          <w:szCs w:val="24"/>
        </w:rPr>
        <w:tab/>
      </w:r>
      <w:r>
        <w:rPr>
          <w:szCs w:val="24"/>
          <w:u w:val="single"/>
        </w:rPr>
        <w:t>(A)</w:t>
      </w:r>
      <w:r>
        <w:rPr>
          <w:szCs w:val="24"/>
        </w:rPr>
        <w:tab/>
        <w:t xml:space="preserve">It </w:t>
      </w:r>
      <w:r>
        <w:rPr>
          <w:strike/>
          <w:szCs w:val="24"/>
        </w:rPr>
        <w:t>shall be</w:t>
      </w:r>
      <w:r>
        <w:rPr>
          <w:szCs w:val="24"/>
        </w:rPr>
        <w:t xml:space="preserve"> </w:t>
      </w:r>
      <w:r>
        <w:rPr>
          <w:szCs w:val="24"/>
          <w:u w:val="single"/>
        </w:rPr>
        <w:t>is</w:t>
      </w:r>
      <w:r>
        <w:rPr>
          <w:szCs w:val="24"/>
        </w:rPr>
        <w:t xml:space="preserve"> the duty and responsibility of the board </w:t>
      </w:r>
      <w:r>
        <w:rPr>
          <w:strike/>
          <w:szCs w:val="24"/>
        </w:rPr>
        <w:t>created in Section 40</w:t>
      </w:r>
      <w:r>
        <w:rPr>
          <w:strike/>
          <w:szCs w:val="24"/>
        </w:rPr>
        <w:noBreakHyphen/>
        <w:t>56</w:t>
      </w:r>
      <w:r>
        <w:rPr>
          <w:strike/>
          <w:szCs w:val="24"/>
        </w:rPr>
        <w:noBreakHyphen/>
        <w:t>10</w:t>
      </w:r>
      <w:r>
        <w:rPr>
          <w:szCs w:val="24"/>
        </w:rPr>
        <w:t xml:space="preserve"> to promulgate</w:t>
      </w:r>
      <w:r>
        <w:rPr>
          <w:szCs w:val="24"/>
          <w:u w:val="single"/>
        </w:rPr>
        <w:t>, pursuant to the Administrative Procedures Act,</w:t>
      </w:r>
      <w:r>
        <w:rPr>
          <w:szCs w:val="24"/>
        </w:rPr>
        <w:t xml:space="preserve"> regulations relating to </w:t>
      </w:r>
      <w:r>
        <w:rPr>
          <w:strike/>
          <w:szCs w:val="24"/>
        </w:rPr>
        <w:t>the sale of</w:t>
      </w:r>
      <w:r>
        <w:rPr>
          <w:szCs w:val="24"/>
        </w:rPr>
        <w:t xml:space="preserve"> pyrotechnics in this State</w:t>
      </w:r>
      <w:r>
        <w:rPr>
          <w:szCs w:val="24"/>
          <w:u w:val="single"/>
        </w:rPr>
        <w:t>,</w:t>
      </w:r>
      <w:r>
        <w:rPr>
          <w:szCs w:val="24"/>
        </w:rPr>
        <w:t xml:space="preserve"> including the </w:t>
      </w:r>
      <w:r>
        <w:rPr>
          <w:szCs w:val="24"/>
          <w:u w:val="single"/>
        </w:rPr>
        <w:t>manufacture, sales,</w:t>
      </w:r>
      <w:r>
        <w:rPr>
          <w:szCs w:val="24"/>
        </w:rPr>
        <w:t xml:space="preserve"> storage</w:t>
      </w:r>
      <w:r>
        <w:rPr>
          <w:szCs w:val="24"/>
          <w:u w:val="single"/>
        </w:rPr>
        <w:t>,</w:t>
      </w:r>
      <w:r>
        <w:rPr>
          <w:szCs w:val="24"/>
        </w:rPr>
        <w:t xml:space="preserve"> and fire safety of </w:t>
      </w:r>
      <w:r>
        <w:rPr>
          <w:strike/>
          <w:szCs w:val="24"/>
        </w:rPr>
        <w:t>such</w:t>
      </w:r>
      <w:r>
        <w:rPr>
          <w:szCs w:val="24"/>
        </w:rPr>
        <w:t xml:space="preserve"> </w:t>
      </w:r>
      <w:r>
        <w:rPr>
          <w:szCs w:val="24"/>
          <w:u w:val="single"/>
        </w:rPr>
        <w:t>these</w:t>
      </w:r>
      <w:r>
        <w:rPr>
          <w:szCs w:val="24"/>
        </w:rPr>
        <w:t xml:space="preserve"> products. </w:t>
      </w:r>
      <w:r>
        <w:rPr>
          <w:szCs w:val="24"/>
          <w:u w:val="single"/>
        </w:rPr>
        <w:t>These regulations must be adjusted using the procedures in Chapter 34, Title 1.</w:t>
      </w:r>
      <w:r>
        <w:rPr>
          <w:szCs w:val="24"/>
        </w:rPr>
        <w:t xml:space="preserve">  </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board may conduct hearings on alleged violations by licensees of this chapter or regulations promulgated pursuant to this chapter and may discipline these licensees.</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(C)</w:t>
      </w:r>
      <w:r>
        <w:rPr>
          <w:szCs w:val="24"/>
        </w:rPr>
        <w:tab/>
        <w:t xml:space="preserve">The board </w:t>
      </w:r>
      <w:r>
        <w:rPr>
          <w:szCs w:val="24"/>
          <w:u w:val="single"/>
        </w:rPr>
        <w:t>also</w:t>
      </w:r>
      <w:r>
        <w:rPr>
          <w:szCs w:val="24"/>
        </w:rPr>
        <w:t xml:space="preserve"> shall </w:t>
      </w:r>
      <w:r>
        <w:rPr>
          <w:strike/>
          <w:szCs w:val="24"/>
        </w:rPr>
        <w:t>also</w:t>
      </w:r>
      <w:r>
        <w:rPr>
          <w:szCs w:val="24"/>
        </w:rPr>
        <w:t xml:space="preserve"> recommend to the General Assembly legislation it </w:t>
      </w:r>
      <w:r>
        <w:rPr>
          <w:strike/>
          <w:szCs w:val="24"/>
        </w:rPr>
        <w:t>deems</w:t>
      </w:r>
      <w:r>
        <w:rPr>
          <w:szCs w:val="24"/>
        </w:rPr>
        <w:t xml:space="preserve"> </w:t>
      </w:r>
      <w:r>
        <w:rPr>
          <w:szCs w:val="24"/>
          <w:u w:val="single"/>
        </w:rPr>
        <w:t>considers</w:t>
      </w:r>
      <w:r>
        <w:rPr>
          <w:szCs w:val="24"/>
        </w:rPr>
        <w:t xml:space="preserve"> necessary for the safety and control of the sale of pyrotechnics. </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investigate complaints and violations of this chapter as provided for in Chapter 1.</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or any authorized agents may enter during reasonable business hours the premises or vehicle of a person engaged in the manufacture, sale, or storage of pyrotechnics to inspect, investigate, or examine the properties or installations they consider necessary. When an emergency exists, as declared by the department, the inspector may enter the premises of a person and take necessary action for public safety including, but not limited to, the evacuation of the area in which the emergency exists.</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 chiefs and their inspectors, sheriffs and their deputies, chiefs of police and their officers, and SLED agents have the authority to inspect any building, facility, or vehicle where fireworks may be manufactured, stored, or sold and any records of manufacturing, storage, sales, and purchases that are required to be maintained.</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Any official named in this section, having the authority to inspect, may confiscate any illegal fireworks being manufactured, offered for sale, stored, or possessed. </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compel the attendance of witnesses to testify in relation to a matter within its jurisdiction.</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remedies provided for in this chapter, the board pursuant to Chapter 1 may issue a cease and desist order or may petition the Administrative Law Court for a temporary restraining order or other equitable relief to enjoin a violation of this chapter or a regulation promulgated pursuant to this chapter.</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has jurisdiction over the actions of licensees and former licensees as provided for in Chapter 1.</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a determination by the board that grounds for discipline exist, the board is authorized to:</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issue a public reprimand;</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impose a civil penalty not to exceed two thousand five hundred dollars;</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 the license.</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take disciplinary action against a person for:</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grounds stated in Chapter 1; or</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condition found as a result of an inspection, examination, or investigation provided for in 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 that is hazardous to public safety.</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deny licensure to an applicant based on the same grounds for which the board may take disciplinary action against a licensee.</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be denied based on a person’s prior criminal record only as provided for in Chapter 1.</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licensee under investigation for a violation of this chapter or a regulation promulgated pursuant to this chapter may voluntarily surrender the license pursuant to Chapter 1.</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aggrieved by a final action of the board may seek review of the decision pursuant Chapter 1.</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found in violation of this chapter or a regulation promulgated pursuant this chapter may be required to pay costs associated with the investigation and prosecution of the case pursuant to Chapter 1.</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costs and fines imposed pursuant to this chapter must be paid in accordance with, and are subject to, the collection and enforcement provisions of Chapter 1.</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Investigations and proceedings conducted under the provisions of this chapter are confidential, and all communications are privileged as provided for in Chapter 1.</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chapter does not repeal, amend, or otherwise affect fire codes and regulations adopted by the State Fire Marshal.</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initiating a criminal proceeding for a violation of this chapter, the board may seek civil penalties and injunctive relief as provided for in Chapter 1.</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facilities for the manufacturing, sales, or storage of fireworks must comply with regulations established by the board.</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consumer fireworks must comply with standards set by the U.S. Department of Transportation and the CPSC for consumer fireworks. The board may request fireworks be tested by a CPSC certified testing group to see that these standards are met.</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Retail sale and use of small bottle rockets are not legal within South Carolina. Small bottle rockets are consumer fireworks with motors less than one</w:t>
      </w:r>
      <w:r>
        <w:rPr>
          <w:rFonts w:eastAsiaTheme="minorHAnsi"/>
          <w:color w:val="000000" w:themeColor="text1"/>
          <w:szCs w:val="22"/>
          <w:u w:val="single" w:color="000000" w:themeColor="text1"/>
        </w:rPr>
        <w:noBreakHyphen/>
        <w:t>half inch in diameter and three inches in length, a stabilizing stick less than fifteen inches in length, and a total pyrotechnic composition not exceeding twenty grams in weight.</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may not be sold to anyone under the age of sixteen.</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application for a retail fireworks sales license must be accompanied by evidence that the applicant holds a policy or policies providing public liability insurance coverage for retail sales activities at the location for the permitted sale period, which policy or policies are issued by an insurance company or companies authorized to do business in this State and which policy or policies provide coverage in the following minimum amounts:</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one million dollars for injuries or damage to any one person in one accident or occurrence; </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for injuries to two or more persons in any accident or occurrence; and</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combined single</w:t>
      </w:r>
      <w:r>
        <w:rPr>
          <w:rFonts w:eastAsiaTheme="minorHAnsi"/>
          <w:color w:val="000000" w:themeColor="text1"/>
          <w:szCs w:val="22"/>
          <w:u w:val="single" w:color="000000" w:themeColor="text1"/>
        </w:rPr>
        <w:noBreakHyphen/>
        <w:t>limit coverage for any one accident or occurrence.</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policy, except those policies issued for fewer than ninety days’ use for seasonal permits, by its original term or an endorsement, shall obligate the insurer that the insurer will not cancel, suspend, or nonrenew the policy without thirty days’ written notice of the proposed cancellation, suspension, or nonrenewal being given to the board. If liability insurance is canceled, suspended, or nonrenewed, the insured shall give immediate notice to the board.</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store display fireworks in this State unless the person has obtained a wholesale license from the board.</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Only licensed wholesalers shall sell or provide fireworks for displays.</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buildings and structures used to store display fireworks must meet regulations established by the board.</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These license holders also must comply with U.S. Bureau of Alcohol, Tobacco, and Firearms regulations.</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the board or its designee finds a condition as a result of an inspection, that is hazardous to the public safety or a violation of this chapter or regulations promulgated pursuant to this chapter, the board shall issue an order in writing to remove or correct the condition. If a person fails to comply with the terms of the order, the board may issue administrative citations and may assess administrative penalties against any licensee. </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authorized under this section are separate from and in addition to all other remedies, either civil or criminal.</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assessed pursuant to this section may not exceed two thousand five hundred dollars for each violation.</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entity or individual assessed administrative penalties by citation under this section may appeal the citation to the Board of Pyrotechnic Safety within fifteen days of receipt of the citation. The appeal must be filed in writing. If an appeal is filed, the board shall schedule a hearing, which shall make a determination in the matter. If no appeal is filed, the citation is deemed a final order, and the administrative penalties must be paid within thirty days of receipt of the citation.</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owner, manager, or operator of any location regulated by this chapter shall report to the board within twenty</w:t>
      </w:r>
      <w:r>
        <w:rPr>
          <w:rFonts w:eastAsiaTheme="minorHAnsi"/>
          <w:color w:val="000000" w:themeColor="text1"/>
          <w:szCs w:val="22"/>
          <w:u w:val="single" w:color="000000" w:themeColor="text1"/>
        </w:rPr>
        <w:noBreakHyphen/>
        <w:t>four hours of any fire or explosion of which the person has knowledge, with as complete detail as possible, together with evidence as he has obtained after investigation of the fire or explosion. Reports filed pursuant to this section are confidential and for the use of the board only pending investigation completion.</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40</w:t>
      </w:r>
      <w:r>
        <w:rPr>
          <w:szCs w:val="24"/>
          <w:u w:val="single"/>
        </w:rPr>
        <w:noBreakHyphen/>
        <w:t>56</w:t>
      </w:r>
      <w:r>
        <w:rPr>
          <w:szCs w:val="24"/>
          <w:u w:val="single"/>
        </w:rPr>
        <w:noBreakHyphen/>
        <w:t>270.</w:t>
      </w:r>
      <w:r>
        <w:rPr>
          <w:szCs w:val="24"/>
        </w:rPr>
        <w:tab/>
      </w:r>
      <w:r>
        <w:rPr>
          <w:szCs w:val="24"/>
          <w:u w:val="single"/>
        </w:rPr>
        <w:t>If a provision of this chapter or the application of a provision to a person or circumstance is held invalid, the invalidity does not affect other provisions or applications of this chapter, which can be given effect without the invalid provisions, or application, and to this end the provisions of this chapter are severable.</w:t>
      </w:r>
      <w:r>
        <w:rPr>
          <w:szCs w:val="24"/>
        </w:rPr>
        <w:t>”</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318A" w:rsidRDefault="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0BB4" w:rsidRDefault="00C20BB4" w:rsidP="00EB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20BB4" w:rsidSect="00EA7FA3">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B4" w:rsidRDefault="00D05017">
      <w:r>
        <w:separator/>
      </w:r>
    </w:p>
  </w:endnote>
  <w:endnote w:type="continuationSeparator" w:id="0">
    <w:p w:rsidR="00C20BB4" w:rsidRDefault="00D05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BE511D-835D-4C7B-A2EA-ADBF9EF02D96}"/>
    <w:embedBold r:id="rId2" w:fontKey="{229C8190-D4CA-4E63-A902-E02AD6E6EA52}"/>
  </w:font>
  <w:font w:name="Calibri">
    <w:panose1 w:val="020F0502020204030204"/>
    <w:charset w:val="00"/>
    <w:family w:val="swiss"/>
    <w:pitch w:val="variable"/>
    <w:sig w:usb0="E10002FF" w:usb1="4000ACFF" w:usb2="00000009" w:usb3="00000000" w:csb0="0000019F" w:csb1="00000000"/>
    <w:embedRegular r:id="rId3" w:fontKey="{8D970DBC-FEAC-4727-AC2B-070F3E6605F3}"/>
  </w:font>
  <w:font w:name="Cambria">
    <w:panose1 w:val="02040503050406030204"/>
    <w:charset w:val="00"/>
    <w:family w:val="roman"/>
    <w:pitch w:val="variable"/>
    <w:sig w:usb0="E00002FF" w:usb1="400004FF" w:usb2="00000000" w:usb3="00000000" w:csb0="0000019F" w:csb1="00000000"/>
    <w:embedRegular r:id="rId4" w:fontKey="{4F99CECC-FCC8-490C-834C-3503534655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18A" w:rsidRDefault="00EB318A">
    <w:pPr>
      <w:pStyle w:val="Footer"/>
      <w:tabs>
        <w:tab w:val="clear" w:pos="4680"/>
        <w:tab w:val="clear" w:pos="9360"/>
        <w:tab w:val="center" w:pos="2995"/>
      </w:tabs>
      <w:spacing w:before="120"/>
    </w:pPr>
    <w:r>
      <w:t>[3941-</w:t>
    </w:r>
    <w:r w:rsidR="00162E9A">
      <w:fldChar w:fldCharType="begin"/>
    </w:r>
    <w:r w:rsidR="00162E9A">
      <w:instrText xml:space="preserve"> PAGE  \* MERGEFORMAT </w:instrText>
    </w:r>
    <w:r w:rsidR="00162E9A">
      <w:fldChar w:fldCharType="separate"/>
    </w:r>
    <w:r w:rsidR="00162E9A">
      <w:rPr>
        <w:noProof/>
      </w:rPr>
      <w:t>1</w:t>
    </w:r>
    <w:r w:rsidR="00162E9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FA3" w:rsidRDefault="00EB318A">
    <w:pPr>
      <w:pStyle w:val="Footer"/>
      <w:tabs>
        <w:tab w:val="clear" w:pos="4680"/>
        <w:tab w:val="clear" w:pos="9360"/>
        <w:tab w:val="center" w:pos="2995"/>
      </w:tabs>
      <w:spacing w:before="120"/>
    </w:pPr>
    <w:r>
      <w:t>[3941]</w:t>
    </w:r>
    <w:r>
      <w:tab/>
    </w:r>
    <w:r w:rsidR="00E97C66">
      <w:fldChar w:fldCharType="begin"/>
    </w:r>
    <w:r>
      <w:instrText xml:space="preserve"> PAGE  \* MERGEFORMAT </w:instrText>
    </w:r>
    <w:r w:rsidR="00E97C66">
      <w:fldChar w:fldCharType="separate"/>
    </w:r>
    <w:r>
      <w:rPr>
        <w:noProof/>
      </w:rPr>
      <w:t>10</w:t>
    </w:r>
    <w:r w:rsidR="00E97C6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B4" w:rsidRDefault="00D05017">
      <w:r>
        <w:separator/>
      </w:r>
    </w:p>
  </w:footnote>
  <w:footnote w:type="continuationSeparator" w:id="0">
    <w:p w:rsidR="00C20BB4" w:rsidRDefault="00D050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11MM09"/>
    <w:docVar w:name="CoverBillType" w:val="b"/>
    <w:docVar w:name="docpath" w:val="L:\Council\bills\AGM\19411MM09.DOCX"/>
    <w:docVar w:name="dvBillNumber" w:val="3941"/>
    <w:docVar w:name="dvBillNumberPrefix" w:val="H. "/>
    <w:docVar w:name="dvOriginalBody" w:val="House"/>
    <w:docVar w:name="dvSteno" w:val="AGM"/>
    <w:docVar w:name="NameofBody" w:val="h"/>
    <w:docVar w:name="vgroup2" w:val="Council"/>
  </w:docVars>
  <w:rsids>
    <w:rsidRoot w:val="00C20BB4"/>
    <w:rsid w:val="00022649"/>
    <w:rsid w:val="001200D1"/>
    <w:rsid w:val="00162E9A"/>
    <w:rsid w:val="003328C1"/>
    <w:rsid w:val="00340FEE"/>
    <w:rsid w:val="003C0B23"/>
    <w:rsid w:val="00453FC6"/>
    <w:rsid w:val="00474501"/>
    <w:rsid w:val="00520C56"/>
    <w:rsid w:val="00545DFA"/>
    <w:rsid w:val="00604A3D"/>
    <w:rsid w:val="006C5471"/>
    <w:rsid w:val="007455D8"/>
    <w:rsid w:val="007C039C"/>
    <w:rsid w:val="00850A2F"/>
    <w:rsid w:val="009E1496"/>
    <w:rsid w:val="009E73DE"/>
    <w:rsid w:val="00BF259F"/>
    <w:rsid w:val="00C20BB4"/>
    <w:rsid w:val="00D05017"/>
    <w:rsid w:val="00DC1522"/>
    <w:rsid w:val="00DD11B4"/>
    <w:rsid w:val="00E61537"/>
    <w:rsid w:val="00E97C66"/>
    <w:rsid w:val="00EB3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7E01B6-CB37-49E1-884C-FFCE66F07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B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20B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0BB4"/>
    <w:rPr>
      <w:rFonts w:eastAsia="Times New Roman" w:cs="Times New Roman"/>
      <w:b/>
      <w:sz w:val="30"/>
      <w:szCs w:val="20"/>
    </w:rPr>
  </w:style>
  <w:style w:type="paragraph" w:styleId="Header">
    <w:name w:val="header"/>
    <w:basedOn w:val="Normal"/>
    <w:link w:val="HeaderChar"/>
    <w:uiPriority w:val="99"/>
    <w:semiHidden/>
    <w:unhideWhenUsed/>
    <w:rsid w:val="00C20BB4"/>
    <w:pPr>
      <w:tabs>
        <w:tab w:val="center" w:pos="4320"/>
        <w:tab w:val="right" w:pos="8640"/>
      </w:tabs>
    </w:pPr>
  </w:style>
  <w:style w:type="character" w:customStyle="1" w:styleId="HeaderChar">
    <w:name w:val="Header Char"/>
    <w:basedOn w:val="DefaultParagraphFont"/>
    <w:link w:val="Header"/>
    <w:uiPriority w:val="99"/>
    <w:semiHidden/>
    <w:rsid w:val="00C20BB4"/>
    <w:rPr>
      <w:rFonts w:eastAsia="Times New Roman" w:cs="Times New Roman"/>
      <w:szCs w:val="20"/>
    </w:rPr>
  </w:style>
  <w:style w:type="paragraph" w:styleId="Footer">
    <w:name w:val="footer"/>
    <w:basedOn w:val="Normal"/>
    <w:link w:val="FooterChar"/>
    <w:uiPriority w:val="99"/>
    <w:unhideWhenUsed/>
    <w:rsid w:val="00C20BB4"/>
    <w:pPr>
      <w:tabs>
        <w:tab w:val="center" w:pos="4680"/>
        <w:tab w:val="right" w:pos="9360"/>
      </w:tabs>
    </w:pPr>
  </w:style>
  <w:style w:type="character" w:customStyle="1" w:styleId="FooterChar">
    <w:name w:val="Footer Char"/>
    <w:basedOn w:val="DefaultParagraphFont"/>
    <w:link w:val="Footer"/>
    <w:uiPriority w:val="99"/>
    <w:rsid w:val="00C20BB4"/>
    <w:rPr>
      <w:rFonts w:eastAsia="Times New Roman" w:cs="Times New Roman"/>
      <w:szCs w:val="20"/>
    </w:rPr>
  </w:style>
  <w:style w:type="character" w:styleId="PageNumber">
    <w:name w:val="page number"/>
    <w:basedOn w:val="DefaultParagraphFont"/>
    <w:uiPriority w:val="99"/>
    <w:semiHidden/>
    <w:unhideWhenUsed/>
    <w:rsid w:val="00C20BB4"/>
  </w:style>
  <w:style w:type="character" w:styleId="LineNumber">
    <w:name w:val="line number"/>
    <w:basedOn w:val="DefaultParagraphFont"/>
    <w:uiPriority w:val="99"/>
    <w:semiHidden/>
    <w:unhideWhenUsed/>
    <w:rsid w:val="00C20BB4"/>
  </w:style>
  <w:style w:type="paragraph" w:customStyle="1" w:styleId="BillDots">
    <w:name w:val="Bill Dots"/>
    <w:basedOn w:val="Normal"/>
    <w:qFormat/>
    <w:rsid w:val="00C20BB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20BB4"/>
    <w:pPr>
      <w:tabs>
        <w:tab w:val="right" w:pos="5904"/>
      </w:tabs>
    </w:pPr>
  </w:style>
  <w:style w:type="character" w:styleId="Hyperlink">
    <w:name w:val="Hyperlink"/>
    <w:basedOn w:val="DefaultParagraphFont"/>
    <w:uiPriority w:val="99"/>
    <w:unhideWhenUsed/>
    <w:rsid w:val="00C20B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13" Type="http://schemas.openxmlformats.org/officeDocument/2006/relationships/hyperlink" Target="file:///h:\HJ%20Archive\2009\05-14-09.docx" TargetMode="External"/><Relationship Id="rId18" Type="http://schemas.openxmlformats.org/officeDocument/2006/relationships/hyperlink" Target="file:///h:\HJ%20Archive\2010\01-15-10.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09-10\3941_20090422.docx" TargetMode="External"/><Relationship Id="rId7" Type="http://schemas.openxmlformats.org/officeDocument/2006/relationships/hyperlink" Target="file:///h:\HJ%20Archive\2009\04-22-09.docx" TargetMode="External"/><Relationship Id="rId12" Type="http://schemas.openxmlformats.org/officeDocument/2006/relationships/hyperlink" Target="file:///h:\HJ%20Archive\2009\05-13-09.docx" TargetMode="External"/><Relationship Id="rId17" Type="http://schemas.openxmlformats.org/officeDocument/2006/relationships/hyperlink" Target="file:///h:\HJ%20Archive\2010\01-14-10.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0\01-14-10.docx" TargetMode="External"/><Relationship Id="rId20" Type="http://schemas.openxmlformats.org/officeDocument/2006/relationships/hyperlink" Target="file:///h:\SJ%20Archive\2010\01-19-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30-09.docx" TargetMode="External"/><Relationship Id="rId24" Type="http://schemas.openxmlformats.org/officeDocument/2006/relationships/hyperlink" Target="file:///p:\pprever\2009-10\3941_20100114.docx" TargetMode="External"/><Relationship Id="rId5" Type="http://schemas.openxmlformats.org/officeDocument/2006/relationships/footnotes" Target="footnotes.xml"/><Relationship Id="rId15" Type="http://schemas.openxmlformats.org/officeDocument/2006/relationships/hyperlink" Target="file:///h:\HJ%20Archive\2010\01-14-10.docx" TargetMode="External"/><Relationship Id="rId23" Type="http://schemas.openxmlformats.org/officeDocument/2006/relationships/hyperlink" Target="file:///p:\pprever\2009-10\3941_20090505.docx" TargetMode="External"/><Relationship Id="rId28" Type="http://schemas.openxmlformats.org/officeDocument/2006/relationships/theme" Target="theme/theme1.xml"/><Relationship Id="rId10" Type="http://schemas.openxmlformats.org/officeDocument/2006/relationships/hyperlink" Target="file:///h:\HJ%20Archive\2009\04-23-09.docx" TargetMode="External"/><Relationship Id="rId19" Type="http://schemas.openxmlformats.org/officeDocument/2006/relationships/hyperlink" Target="file:///h:\SJ%20Archive\2010\01-19-10.docx" TargetMode="External"/><Relationship Id="rId4" Type="http://schemas.openxmlformats.org/officeDocument/2006/relationships/webSettings" Target="webSettings.xml"/><Relationship Id="rId9" Type="http://schemas.openxmlformats.org/officeDocument/2006/relationships/hyperlink" Target="file:///h:\HJ%20Archive\2009\04-23-09.docx" TargetMode="External"/><Relationship Id="rId14" Type="http://schemas.openxmlformats.org/officeDocument/2006/relationships/hyperlink" Target="file:///h:\HJ%20Archive\2010\01-13-10.docx" TargetMode="External"/><Relationship Id="rId22" Type="http://schemas.openxmlformats.org/officeDocument/2006/relationships/hyperlink" Target="file:///p:\pprever\2009-10\3941_20090430.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DB2A0-E794-42D2-B8AE-8D5AA4240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3266</Words>
  <Characters>17659</Characters>
  <Application>Microsoft Office Word</Application>
  <DocSecurity>0</DocSecurity>
  <Lines>451</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3941: State Board of Pyrotechnic Safety - South Carolina Legislature Online</dc:title>
  <dc:subject/>
  <dc:creator>ANGIE MORGAN</dc:creator>
  <cp:keywords/>
  <dc:description/>
  <cp:lastModifiedBy>N Cumfer</cp:lastModifiedBy>
  <cp:revision>8</cp:revision>
  <cp:lastPrinted>2009-04-21T16:28:00Z</cp:lastPrinted>
  <dcterms:created xsi:type="dcterms:W3CDTF">2010-01-14T22:58:00Z</dcterms:created>
  <dcterms:modified xsi:type="dcterms:W3CDTF">2014-11-24T16:15:00Z</dcterms:modified>
</cp:coreProperties>
</file>