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D54" w:rsidRDefault="00541E77">
      <w:pPr>
        <w:widowControl w:val="0"/>
        <w:jc w:val="center"/>
      </w:pPr>
      <w:bookmarkStart w:id="0" w:name="_GoBack"/>
      <w:bookmarkEnd w:id="0"/>
      <w:r>
        <w:rPr>
          <w:b/>
        </w:rPr>
        <w:t>South Carolina General Assembly</w:t>
      </w:r>
    </w:p>
    <w:p w:rsidR="002F4D54" w:rsidRDefault="00541E77">
      <w:pPr>
        <w:widowControl w:val="0"/>
        <w:jc w:val="center"/>
      </w:pPr>
      <w:r>
        <w:t>118th Session, 2009-2010</w:t>
      </w:r>
    </w:p>
    <w:p w:rsidR="002F4D54" w:rsidRDefault="002F4D54">
      <w:pPr>
        <w:widowControl w:val="0"/>
        <w:jc w:val="left"/>
      </w:pPr>
    </w:p>
    <w:p w:rsidR="002F4D54" w:rsidRDefault="00541E77">
      <w:pPr>
        <w:widowControl w:val="0"/>
        <w:jc w:val="left"/>
        <w:rPr>
          <w:b/>
        </w:rPr>
      </w:pPr>
      <w:r>
        <w:rPr>
          <w:b/>
        </w:rPr>
        <w:t>H. 4113</w:t>
      </w:r>
    </w:p>
    <w:p w:rsidR="002F4D54" w:rsidRDefault="002F4D54">
      <w:pPr>
        <w:widowControl w:val="0"/>
        <w:jc w:val="left"/>
        <w:rPr>
          <w:b/>
        </w:rPr>
      </w:pPr>
    </w:p>
    <w:p w:rsidR="002F4D54" w:rsidRDefault="00541E77">
      <w:pPr>
        <w:widowControl w:val="0"/>
        <w:jc w:val="left"/>
      </w:pPr>
      <w:r>
        <w:rPr>
          <w:b/>
        </w:rPr>
        <w:t>STATUS INFORMATION</w:t>
      </w:r>
    </w:p>
    <w:p w:rsidR="002F4D54" w:rsidRDefault="002F4D54">
      <w:pPr>
        <w:widowControl w:val="0"/>
        <w:jc w:val="left"/>
      </w:pPr>
    </w:p>
    <w:p w:rsidR="002F4D54" w:rsidRDefault="00541E77">
      <w:pPr>
        <w:widowControl w:val="0"/>
        <w:jc w:val="left"/>
      </w:pPr>
      <w:r>
        <w:t>General Bill</w:t>
      </w:r>
    </w:p>
    <w:p w:rsidR="002F4D54" w:rsidRDefault="00541E77">
      <w:pPr>
        <w:widowControl w:val="0"/>
        <w:jc w:val="left"/>
      </w:pPr>
      <w:r>
        <w:t>Sponsors: Rep. Kirsh</w:t>
      </w:r>
    </w:p>
    <w:p w:rsidR="002F4D54" w:rsidRDefault="00541E77">
      <w:pPr>
        <w:widowControl w:val="0"/>
        <w:jc w:val="left"/>
      </w:pPr>
      <w:r>
        <w:t>Document Path: l:\council\bills\bbm\9415htc09.docx</w:t>
      </w:r>
    </w:p>
    <w:p w:rsidR="002F4D54" w:rsidRDefault="00541E77">
      <w:pPr>
        <w:widowControl w:val="0"/>
        <w:jc w:val="left"/>
      </w:pPr>
      <w:r>
        <w:t>Companion/Similar bill(s): 876</w:t>
      </w:r>
    </w:p>
    <w:p w:rsidR="002F4D54" w:rsidRDefault="002F4D54">
      <w:pPr>
        <w:widowControl w:val="0"/>
        <w:jc w:val="left"/>
      </w:pPr>
    </w:p>
    <w:p w:rsidR="00465899" w:rsidRDefault="00465899">
      <w:pPr>
        <w:widowControl w:val="0"/>
        <w:jc w:val="left"/>
      </w:pPr>
      <w:r>
        <w:t>Introduced in the House on May 21, 2009</w:t>
      </w:r>
    </w:p>
    <w:p w:rsidR="00465899" w:rsidRPr="00465899" w:rsidRDefault="00465899">
      <w:pPr>
        <w:widowControl w:val="0"/>
        <w:jc w:val="left"/>
      </w:pPr>
      <w:r>
        <w:t xml:space="preserve">Currently residing in the House Committee on </w:t>
      </w:r>
      <w:r w:rsidRPr="00465899">
        <w:rPr>
          <w:b/>
        </w:rPr>
        <w:t>Ways and Means</w:t>
      </w:r>
    </w:p>
    <w:p w:rsidR="00465899" w:rsidRDefault="00465899">
      <w:pPr>
        <w:widowControl w:val="0"/>
        <w:jc w:val="left"/>
      </w:pPr>
    </w:p>
    <w:p w:rsidR="002F4D54" w:rsidRDefault="00541E77">
      <w:pPr>
        <w:widowControl w:val="0"/>
        <w:jc w:val="left"/>
      </w:pPr>
      <w:r>
        <w:t>Summary: County tax collectors</w:t>
      </w:r>
    </w:p>
    <w:p w:rsidR="002F4D54" w:rsidRDefault="002F4D54">
      <w:pPr>
        <w:widowControl w:val="0"/>
        <w:jc w:val="left"/>
      </w:pPr>
    </w:p>
    <w:p w:rsidR="002F4D54" w:rsidRDefault="002F4D54">
      <w:pPr>
        <w:widowControl w:val="0"/>
        <w:jc w:val="left"/>
      </w:pPr>
    </w:p>
    <w:p w:rsidR="002F4D54" w:rsidRDefault="00541E77">
      <w:pPr>
        <w:widowControl w:val="0"/>
        <w:tabs>
          <w:tab w:val="center" w:pos="590"/>
          <w:tab w:val="center" w:pos="1440"/>
          <w:tab w:val="left" w:pos="1872"/>
          <w:tab w:val="left" w:pos="9187"/>
        </w:tabs>
        <w:jc w:val="left"/>
      </w:pPr>
      <w:r>
        <w:rPr>
          <w:b/>
        </w:rPr>
        <w:t>HISTORY OF LEGISLATIVE ACTIONS</w:t>
      </w:r>
    </w:p>
    <w:p w:rsidR="002F4D54" w:rsidRDefault="002F4D54">
      <w:pPr>
        <w:widowControl w:val="0"/>
        <w:tabs>
          <w:tab w:val="center" w:pos="590"/>
          <w:tab w:val="center" w:pos="1440"/>
          <w:tab w:val="left" w:pos="1872"/>
          <w:tab w:val="left" w:pos="9187"/>
        </w:tabs>
        <w:jc w:val="left"/>
      </w:pPr>
    </w:p>
    <w:p w:rsidR="002F4D54" w:rsidRDefault="00541E7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65899" w:rsidRDefault="00465899" w:rsidP="00465899">
      <w:pPr>
        <w:widowControl w:val="0"/>
        <w:tabs>
          <w:tab w:val="right" w:pos="1008"/>
          <w:tab w:val="left" w:pos="1152"/>
          <w:tab w:val="left" w:pos="1872"/>
          <w:tab w:val="left" w:pos="9187"/>
        </w:tabs>
        <w:ind w:left="2088" w:hanging="2088"/>
        <w:jc w:val="left"/>
      </w:pPr>
      <w:r>
        <w:tab/>
        <w:t>5/21/2009</w:t>
      </w:r>
      <w:r>
        <w:tab/>
        <w:t>House</w:t>
      </w:r>
      <w:r>
        <w:tab/>
      </w:r>
      <w:r w:rsidRPr="00B832CF">
        <w:t xml:space="preserve">Introduced and read first time </w:t>
      </w:r>
      <w:hyperlink r:id="rId7" w:history="1">
        <w:r w:rsidRPr="0054647A">
          <w:rPr>
            <w:rStyle w:val="Hyperlink"/>
          </w:rPr>
          <w:t>HJ</w:t>
        </w:r>
      </w:hyperlink>
      <w:r>
        <w:noBreakHyphen/>
      </w:r>
      <w:r w:rsidRPr="00B832CF">
        <w:t>3</w:t>
      </w:r>
    </w:p>
    <w:p w:rsidR="00465899" w:rsidRDefault="00465899" w:rsidP="00465899">
      <w:pPr>
        <w:widowControl w:val="0"/>
        <w:tabs>
          <w:tab w:val="right" w:pos="1008"/>
          <w:tab w:val="left" w:pos="1152"/>
          <w:tab w:val="left" w:pos="1872"/>
          <w:tab w:val="left" w:pos="9187"/>
        </w:tabs>
        <w:ind w:left="2088" w:hanging="2088"/>
        <w:jc w:val="left"/>
      </w:pPr>
      <w:r>
        <w:tab/>
        <w:t>5/21/2009</w:t>
      </w:r>
      <w:r>
        <w:tab/>
        <w:t>House</w:t>
      </w:r>
      <w:r>
        <w:tab/>
      </w:r>
      <w:r w:rsidRPr="00B832CF">
        <w:t xml:space="preserve">Referred to Committee on </w:t>
      </w:r>
      <w:r w:rsidRPr="00B832CF">
        <w:rPr>
          <w:b/>
        </w:rPr>
        <w:t>Ways and Means</w:t>
      </w:r>
      <w:r w:rsidRPr="00B832CF">
        <w:t xml:space="preserve"> </w:t>
      </w:r>
      <w:hyperlink r:id="rId8" w:history="1">
        <w:r w:rsidRPr="0054647A">
          <w:rPr>
            <w:rStyle w:val="Hyperlink"/>
          </w:rPr>
          <w:t>HJ</w:t>
        </w:r>
      </w:hyperlink>
      <w:r>
        <w:noBreakHyphen/>
      </w:r>
      <w:r w:rsidRPr="00B832CF">
        <w:t>4</w:t>
      </w:r>
    </w:p>
    <w:p w:rsidR="00465899" w:rsidRDefault="00465899" w:rsidP="00465899">
      <w:pPr>
        <w:widowControl w:val="0"/>
        <w:tabs>
          <w:tab w:val="right" w:pos="1008"/>
          <w:tab w:val="left" w:pos="1152"/>
          <w:tab w:val="left" w:pos="1872"/>
          <w:tab w:val="left" w:pos="9187"/>
        </w:tabs>
        <w:ind w:left="2088" w:hanging="2088"/>
        <w:jc w:val="left"/>
      </w:pPr>
    </w:p>
    <w:p w:rsidR="002F4D54" w:rsidRDefault="002F4D54">
      <w:pPr>
        <w:widowControl w:val="0"/>
        <w:tabs>
          <w:tab w:val="right" w:pos="1008"/>
          <w:tab w:val="left" w:pos="1152"/>
          <w:tab w:val="left" w:pos="1872"/>
          <w:tab w:val="left" w:pos="9187"/>
        </w:tabs>
        <w:ind w:left="2088" w:hanging="2088"/>
        <w:jc w:val="left"/>
      </w:pPr>
    </w:p>
    <w:p w:rsidR="002F4D54" w:rsidRDefault="00541E77">
      <w:pPr>
        <w:widowControl w:val="0"/>
        <w:jc w:val="left"/>
      </w:pPr>
      <w:r>
        <w:rPr>
          <w:b/>
        </w:rPr>
        <w:t>VERSIONS OF THIS BILL</w:t>
      </w:r>
    </w:p>
    <w:p w:rsidR="002F4D54" w:rsidRDefault="002F4D54">
      <w:pPr>
        <w:widowControl w:val="0"/>
        <w:jc w:val="left"/>
      </w:pPr>
    </w:p>
    <w:p w:rsidR="002F4D54" w:rsidRDefault="00013E2D">
      <w:pPr>
        <w:widowControl w:val="0"/>
        <w:jc w:val="left"/>
      </w:pPr>
      <w:hyperlink r:id="rId9" w:history="1">
        <w:r w:rsidR="00541E77">
          <w:rPr>
            <w:rStyle w:val="Hyperlink"/>
          </w:rPr>
          <w:t>5/21/2009</w:t>
        </w:r>
      </w:hyperlink>
    </w:p>
    <w:p w:rsidR="002F4D54" w:rsidRDefault="002F4D54"/>
    <w:p w:rsidR="002F4D54" w:rsidRDefault="002F4D54">
      <w:pPr>
        <w:sectPr w:rsidR="002F4D54">
          <w:pgSz w:w="12240" w:h="15840" w:code="1"/>
          <w:pgMar w:top="1080" w:right="1440" w:bottom="1080" w:left="1440" w:header="720" w:footer="720" w:gutter="0"/>
          <w:cols w:space="720"/>
          <w:noEndnote/>
          <w:docGrid w:linePitch="360"/>
        </w:sectPr>
      </w:pPr>
    </w:p>
    <w:p w:rsidR="002F4D54" w:rsidRDefault="002F4D54">
      <w:pPr>
        <w:pStyle w:val="BillDots"/>
      </w:pPr>
    </w:p>
    <w:p w:rsidR="002F4D54" w:rsidRDefault="002F4D54">
      <w:pPr>
        <w:pStyle w:val="Numbersforbills"/>
      </w:pP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SECTION 12-45-17 SO AS TO PROVIDE MINIMUM CONTINUING EDUCATION COURSE REQUIREMENTS FOR COUNTY TAX COLLECTORS AND PROVIDE EXCEPTIONS; BY ADDING SECTION 12-59-85 SO AS TO ALLOW A COUNTY FORFEITED LAND COMMISSION TO REFUSE TO ACCEPT TITLE TO PROPERTY WHEN REFUSAL IS IN THE PUBLIC INTEREST; TO AMEND SECTION 12-37-2725,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12-37-3150, AS AMENDED, RELATING TO ASSESSABLE TRANSFERS OF INTEREST FOR PURPOSES OF DETERMINING THE VALUE OF REAL PROPERTY FOR PROPERTY TAXATION, SO AS TO PROVIDE A CIVIL PENALTY FOR FAILURE TO PROVIDE NOTICE TO THE ASSESSOR OF OWNERSHIP TRANSFERS OF CERTAIN BUSINESS REAL PROPERTY; TO AMEND SECTION 12-39-220, RELATING TO THE DISCOVERY OF UNTAXED PROPERTY FOR PURPOSES OF PROPERTY TAXES, SO AS TO PROVIDE THE DUTIES OF THE ASSESSOR WITH RESPECT TO THIS PROPERTY; TO AMEND SECTIONS 12-51-50, AS AMENDED, AND 12-51-70, RELATING TO DELINQUENT TAX SALES, SO AS TO PROVIDE FOR THE SALES DATE AND TO INCREASE FROM THREE HUNDRED TO ONE THOUSAND DOLLARS THE DAMAGES FOR WHICH A DEFAULTING BIDDER IS </w:t>
      </w:r>
      <w:r>
        <w:lastRenderedPageBreak/>
        <w:t>LIABLE; AND TO AMEND SECTION 12-54-85, AS AMENDED, RELATING TO THE TIME LIMITS APPLICABLE FOR ASSESSING DELINQUENT TAXES, SO AS TO MAKE A CONFORMING AMENDMENT.</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45, Title 12 of the 1976 Code is amended by adding:</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for reasonable cause, may excuse a person serving as the county tax collector from attending these courses for any year.</w:t>
      </w: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provisions of this section do not apply to a county treasurer who is also the county tax collector and completes satisfactorily the requirements of 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15.”</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Article 1, Chapter 59, Title 12 of the 1976 Code is amended by adding:</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59</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tab/>
        <w:t>After land has been bid in by the county auditor and before it has been conveyed to the county’s forfeited land commission, the forfeited land commission or a majority of its members may refuse to accept title to the property if the commission determines that to accept title would be against the interest of the public.”</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2725 of the 1976 Code is amended to read:</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2725.</w:t>
      </w:r>
      <w:r>
        <w:rPr>
          <w:rFonts w:eastAsiaTheme="minorHAnsi"/>
          <w:color w:val="000000" w:themeColor="text1"/>
          <w:szCs w:val="22"/>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auditor of the county of the vehicle’s registration and tax payment.  A request for cancellation must be made in writing to the auditor upon forms approved by the Department of Motor Vehicles.  The auditor, upon receipt of the license plate, registration certificate, and the request for cancellation, shall order and the treasurer shall issue a credit or refund of property taxes paid by the transferor on the vehicle.  </w:t>
      </w:r>
      <w:r>
        <w:rPr>
          <w:rFonts w:eastAsiaTheme="minorHAnsi"/>
          <w:color w:val="000000" w:themeColor="text1"/>
          <w:szCs w:val="22"/>
          <w:u w:val="single" w:color="000000" w:themeColor="text1"/>
        </w:rPr>
        <w:t>A receipt form 5051 issued by the Department of Motor Vehicles substitutes for the license plate and registration certificate otherwise required.</w:t>
      </w:r>
      <w:r>
        <w:rPr>
          <w:rFonts w:eastAsiaTheme="minorHAnsi"/>
          <w:color w:val="000000" w:themeColor="text1"/>
          <w:szCs w:val="22"/>
          <w:u w:color="000000" w:themeColor="text1"/>
        </w:rPr>
        <w:t xml:space="preserve">  The amount of the refund or credit is that proportion of the tax paid that is equal to that proportion of the complete months remaining in that tax year.  The auditor, within five days </w:t>
      </w:r>
      <w:r>
        <w:rPr>
          <w:rFonts w:eastAsiaTheme="minorHAnsi"/>
          <w:strike/>
          <w:color w:val="000000" w:themeColor="text1"/>
          <w:szCs w:val="22"/>
          <w:u w:color="000000" w:themeColor="text1"/>
        </w:rPr>
        <w:t>thereafter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after that</w:t>
      </w:r>
      <w:r>
        <w:rPr>
          <w:rFonts w:eastAsiaTheme="minorHAnsi"/>
          <w:color w:val="000000" w:themeColor="text1"/>
          <w:szCs w:val="22"/>
          <w:u w:color="000000" w:themeColor="text1"/>
        </w:rPr>
        <w:t xml:space="preserve">, shall deliver the license plate, registration certificate, and the written request for cancellation to the Department of Motor Vehicles.  Upon receipt, the Department of Motor Vehicles shall cancel the license plate and registration certificate and may not reissue </w:t>
      </w:r>
      <w:r>
        <w:rPr>
          <w:rFonts w:eastAsiaTheme="minorHAnsi"/>
          <w:strike/>
          <w:color w:val="000000" w:themeColor="text1"/>
          <w:szCs w:val="22"/>
          <w:u w:color="000000" w:themeColor="text1"/>
        </w:rPr>
        <w:t>the same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them</w:t>
      </w:r>
      <w:r>
        <w:rPr>
          <w:rFonts w:eastAsiaTheme="minorHAnsi"/>
          <w:color w:val="000000" w:themeColor="text1"/>
          <w:szCs w:val="22"/>
          <w:u w:color="000000" w:themeColor="text1"/>
        </w:rPr>
        <w:t>.”</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3150(A)(8) of the 1976 Code, as added by Act 57 of 2007, is amended to read:</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 a transfer of an ownership interest in a single transaction or as a part of a series of related transactions within a twenty</w:t>
      </w:r>
      <w:r>
        <w:rPr>
          <w:rFonts w:eastAsiaTheme="minorHAnsi"/>
          <w:color w:val="000000" w:themeColor="text1"/>
          <w:szCs w:val="22"/>
          <w:u w:color="000000" w:themeColor="text1"/>
        </w:rPr>
        <w:noBreakHyphen/>
        <w:t>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The corporation, partnership, sole proprietorship, limited liability company, limited liability partnership, or other legal entity shall notify the applicable property tax assessor on a form provided by the Department of Revenue not more than forty</w:t>
      </w:r>
      <w:r>
        <w:rPr>
          <w:rFonts w:eastAsiaTheme="minorHAnsi"/>
          <w:color w:val="000000" w:themeColor="text1"/>
          <w:szCs w:val="22"/>
          <w:u w:color="000000" w:themeColor="text1"/>
        </w:rPr>
        <w:noBreakHyphen/>
        <w:t>five days after a conveyance of an ownership interest that constitutes an assessable transfer of interest or transfer of ownership under this item</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Failure to provide this notice or failure to provide accurate information of a transaction required to be reported on this notice subjects the property to a civil penalty of not less than one hundred nor more than one thousand dollars as determined by the assessor. This penalty is enforceable and collectible as property tax and is in addition to any other penalties that may apply;</w:t>
      </w:r>
      <w:r>
        <w:rPr>
          <w:rFonts w:eastAsiaTheme="minorHAnsi"/>
          <w:color w:val="000000" w:themeColor="text1"/>
          <w:szCs w:val="22"/>
          <w:u w:color="000000" w:themeColor="text1"/>
        </w:rPr>
        <w:t>”</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220 of the 1976 Code is amended to read:</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220.</w:t>
      </w:r>
      <w:r>
        <w:rPr>
          <w:rFonts w:eastAsiaTheme="minorHAnsi"/>
          <w:color w:val="000000" w:themeColor="text1"/>
          <w:szCs w:val="22"/>
          <w:u w:color="000000" w:themeColor="text1"/>
        </w:rPr>
        <w:tab/>
        <w:t xml:space="preserve">If the county </w:t>
      </w:r>
      <w:r>
        <w:rPr>
          <w:rFonts w:eastAsiaTheme="minorHAnsi"/>
          <w:strike/>
          <w:color w:val="000000" w:themeColor="text1"/>
          <w:szCs w:val="22"/>
          <w:u w:color="000000" w:themeColor="text1"/>
        </w:rPr>
        <w:t>auditor shall at any time discover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 discovers</w:t>
      </w:r>
      <w:r>
        <w:rPr>
          <w:rFonts w:eastAsiaTheme="minorHAnsi"/>
          <w:color w:val="000000" w:themeColor="text1"/>
          <w:szCs w:val="22"/>
          <w:u w:color="000000" w:themeColor="text1"/>
        </w:rPr>
        <w:t xml:space="preserve"> that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real estate or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new structure </w:t>
      </w:r>
      <w:r>
        <w:rPr>
          <w:rFonts w:eastAsiaTheme="minorHAnsi"/>
          <w:color w:val="000000" w:themeColor="text1"/>
          <w:szCs w:val="22"/>
          <w:u w:val="single" w:color="000000" w:themeColor="text1"/>
        </w:rPr>
        <w:t>or personal property</w:t>
      </w:r>
      <w:r>
        <w:rPr>
          <w:rFonts w:eastAsiaTheme="minorHAnsi"/>
          <w:color w:val="000000" w:themeColor="text1"/>
          <w:szCs w:val="22"/>
          <w:u w:color="000000" w:themeColor="text1"/>
        </w:rPr>
        <w:t xml:space="preserve">, duly returned and appraised for taxation, has been omitted from the duplicate, he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immediately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charge it on the duplicate with the taxes of the current year and the simple taxes of each preceding year </w:t>
      </w:r>
      <w:r>
        <w:rPr>
          <w:rFonts w:eastAsiaTheme="minorHAnsi"/>
          <w:strike/>
          <w:color w:val="000000" w:themeColor="text1"/>
          <w:szCs w:val="22"/>
          <w:u w:color="000000" w:themeColor="text1"/>
        </w:rPr>
        <w:t>it may have escaped taxation.  And if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  If</w:t>
      </w:r>
      <w:r>
        <w:rPr>
          <w:rFonts w:eastAsiaTheme="minorHAnsi"/>
          <w:color w:val="000000" w:themeColor="text1"/>
          <w:szCs w:val="22"/>
          <w:u w:color="000000" w:themeColor="text1"/>
        </w:rPr>
        <w:t xml:space="preserve"> the owner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or</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new structure </w:t>
      </w:r>
      <w:r>
        <w:rPr>
          <w:rFonts w:eastAsiaTheme="minorHAnsi"/>
          <w:strike/>
          <w:color w:val="000000" w:themeColor="text1"/>
          <w:szCs w:val="22"/>
          <w:u w:color="000000" w:themeColor="text1"/>
        </w:rPr>
        <w:t>thereon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 personal property</w:t>
      </w:r>
      <w:r>
        <w:rPr>
          <w:rFonts w:eastAsiaTheme="minorHAnsi"/>
          <w:color w:val="000000" w:themeColor="text1"/>
          <w:szCs w:val="22"/>
          <w:u w:color="000000" w:themeColor="text1"/>
        </w:rPr>
        <w:t xml:space="preserve"> subject to taxation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has not reported it for taxation, according to the requirements of this chapter, and it has not been appraised for taxation, the </w:t>
      </w:r>
      <w:r>
        <w:rPr>
          <w:rFonts w:eastAsiaTheme="minorHAnsi"/>
          <w:strike/>
          <w:color w:val="000000" w:themeColor="text1"/>
          <w:szCs w:val="22"/>
          <w:u w:color="000000" w:themeColor="text1"/>
        </w:rPr>
        <w:t>auditor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w:t>
      </w:r>
      <w:r>
        <w:rPr>
          <w:rFonts w:eastAsiaTheme="minorHAnsi"/>
          <w:color w:val="000000" w:themeColor="text1"/>
          <w:szCs w:val="22"/>
          <w:u w:color="000000" w:themeColor="text1"/>
        </w:rPr>
        <w:t xml:space="preserve">, upon discovery </w:t>
      </w:r>
      <w:r>
        <w:rPr>
          <w:rFonts w:eastAsiaTheme="minorHAnsi"/>
          <w:strike/>
          <w:color w:val="000000" w:themeColor="text1"/>
          <w:szCs w:val="22"/>
          <w:u w:color="000000" w:themeColor="text1"/>
        </w:rPr>
        <w:t>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of that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appraise it and, upon making return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shall charge it upon the duplicate, with the taxes of the then current year and the taxes of each preceding year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r>
        <w:rPr>
          <w:rFonts w:eastAsiaTheme="minorHAnsi"/>
          <w:color w:val="000000" w:themeColor="text1"/>
          <w:szCs w:val="22"/>
          <w:u w:color="000000" w:themeColor="text1"/>
        </w:rPr>
        <w:t xml:space="preserve">, with twenty percent penalty upon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taxes of preceding years.  </w:t>
      </w:r>
      <w:r>
        <w:rPr>
          <w:rFonts w:eastAsiaTheme="minorHAnsi"/>
          <w:strike/>
          <w:color w:val="000000" w:themeColor="text1"/>
          <w:szCs w:val="22"/>
          <w:u w:color="000000" w:themeColor="text1"/>
        </w:rPr>
        <w:t>And if 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shall have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been omitted in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return, the </w:t>
      </w:r>
      <w:r>
        <w:rPr>
          <w:rFonts w:eastAsiaTheme="minorHAnsi"/>
          <w:strike/>
          <w:color w:val="000000" w:themeColor="text1"/>
          <w:szCs w:val="22"/>
          <w:u w:color="000000" w:themeColor="text1"/>
        </w:rPr>
        <w:t>auditor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w:t>
      </w:r>
      <w:r>
        <w:rPr>
          <w:rFonts w:eastAsiaTheme="minorHAnsi"/>
          <w:color w:val="000000" w:themeColor="text1"/>
          <w:szCs w:val="22"/>
          <w:u w:color="000000" w:themeColor="text1"/>
        </w:rPr>
        <w:t xml:space="preserve"> of the county shall appraise it immediately for taxation, file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in his office and charge it with the taxes of the current year and the simple taxes of preceding years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r>
        <w:rPr>
          <w:rFonts w:eastAsiaTheme="minorHAnsi"/>
          <w:color w:val="000000" w:themeColor="text1"/>
          <w:szCs w:val="22"/>
          <w:u w:color="000000" w:themeColor="text1"/>
        </w:rPr>
        <w:t>.”</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 of the 1976 Code, as last amended by Act 399 of 2000, is further amended to read:</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Pr>
          <w:rFonts w:eastAsiaTheme="minorHAnsi"/>
          <w:strike/>
          <w:color w:val="000000" w:themeColor="text1"/>
          <w:szCs w:val="22"/>
          <w:u w:color="000000" w:themeColor="text1"/>
        </w:rPr>
        <w:t>a legal sales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advertised</w:t>
      </w:r>
      <w:r>
        <w:rPr>
          <w:rFonts w:eastAsiaTheme="minorHAnsi"/>
          <w:color w:val="000000" w:themeColor="text1"/>
          <w:szCs w:val="22"/>
          <w:u w:color="000000" w:themeColor="text1"/>
        </w:rPr>
        <w:t xml:space="preserve"> date </w:t>
      </w:r>
      <w:r>
        <w:rPr>
          <w:rFonts w:eastAsiaTheme="minorHAnsi"/>
          <w:strike/>
          <w:color w:val="000000" w:themeColor="text1"/>
          <w:szCs w:val="22"/>
          <w:u w:color="000000" w:themeColor="text1"/>
        </w:rPr>
        <w:t>during regular hours</w:t>
      </w:r>
      <w:r>
        <w:rPr>
          <w:rFonts w:eastAsiaTheme="minorHAnsi"/>
          <w:color w:val="000000" w:themeColor="text1"/>
          <w:szCs w:val="22"/>
          <w:u w:color="000000" w:themeColor="text1"/>
        </w:rPr>
        <w:t xml:space="preserve"> for legal tender payable in full by cash, cashier’s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sold.”</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 of the 1976 Code is amended to read:</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case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successful bidder fails to remit in legal tender within the time specified, the person officially charged with the collection of delinquent taxes shall cancel that bid and duly readvertise the same property for sale, in the same manner, on a subsequent delinquent tax sale date.  The defaulting bidder is liable for no more than </w:t>
      </w:r>
      <w:r>
        <w:rPr>
          <w:rFonts w:eastAsiaTheme="minorHAnsi"/>
          <w:strike/>
          <w:color w:val="000000" w:themeColor="text1"/>
          <w:szCs w:val="22"/>
          <w:u w:color="000000" w:themeColor="text1"/>
        </w:rPr>
        <w:t>three hundred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one thousand</w:t>
      </w:r>
      <w:r>
        <w:rPr>
          <w:rFonts w:eastAsiaTheme="minorHAnsi"/>
          <w:color w:val="000000" w:themeColor="text1"/>
          <w:szCs w:val="22"/>
          <w:u w:color="000000" w:themeColor="text1"/>
        </w:rPr>
        <w:t xml:space="preserve"> dollars damages upon default, which may be collected by suit by the person officially charged with the collection of delinquent taxes in the name of the taxing authority.”</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54</w:t>
      </w:r>
      <w:r>
        <w:rPr>
          <w:rFonts w:eastAsiaTheme="minorHAnsi"/>
          <w:color w:val="000000" w:themeColor="text1"/>
          <w:szCs w:val="22"/>
          <w:u w:color="000000" w:themeColor="text1"/>
        </w:rPr>
        <w:noBreakHyphen/>
        <w:t>85(C) of the 1976 Code, as last amended by Act 116 of 2007, is further amended to read:</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Taxes may be determined and assessed after the thirty</w:t>
      </w:r>
      <w:r>
        <w:rPr>
          <w:rFonts w:eastAsiaTheme="minorHAnsi"/>
          <w:color w:val="000000" w:themeColor="text1"/>
          <w:szCs w:val="22"/>
          <w:u w:color="000000" w:themeColor="text1"/>
        </w:rPr>
        <w:noBreakHyphen/>
        <w:t xml:space="preserve">six month limitation if: </w:t>
      </w: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fraudulent intent to evade the taxes; </w:t>
      </w: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taxpayer failed to file a return or document as required by law; </w:t>
      </w: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there is a twenty percent understatement of the total of all taxes required to be shown on the return or document. The taxes in this case may be assessed at any time within seventy</w:t>
      </w:r>
      <w:r>
        <w:rPr>
          <w:rFonts w:eastAsiaTheme="minorHAnsi"/>
          <w:color w:val="000000" w:themeColor="text1"/>
          <w:szCs w:val="22"/>
          <w:u w:color="000000" w:themeColor="text1"/>
        </w:rPr>
        <w:noBreakHyphen/>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w:t>
      </w: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rFonts w:eastAsiaTheme="minorHAnsi"/>
          <w:color w:val="000000" w:themeColor="text1"/>
          <w:szCs w:val="22"/>
          <w:u w:color="000000" w:themeColor="text1"/>
        </w:rPr>
        <w:noBreakHyphen/>
        <w:t>two months after the last day the use tax may be paid without penalty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or</w:t>
      </w: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property has been omitted pursuant to Section 12</w:t>
      </w:r>
      <w:r>
        <w:rPr>
          <w:rFonts w:eastAsiaTheme="minorHAnsi"/>
          <w:color w:val="000000" w:themeColor="text1"/>
          <w:szCs w:val="22"/>
          <w:u w:val="single" w:color="000000" w:themeColor="text1"/>
        </w:rPr>
        <w:noBreakHyphen/>
        <w:t>39</w:t>
      </w:r>
      <w:r>
        <w:rPr>
          <w:rFonts w:eastAsiaTheme="minorHAnsi"/>
          <w:color w:val="000000" w:themeColor="text1"/>
          <w:szCs w:val="22"/>
          <w:u w:val="single" w:color="000000" w:themeColor="text1"/>
        </w:rPr>
        <w:noBreakHyphen/>
        <w:t>220.  In this case, the taxes may be assessed at any time within the seventy</w:t>
      </w:r>
      <w:r>
        <w:rPr>
          <w:rFonts w:eastAsiaTheme="minorHAnsi"/>
          <w:color w:val="000000" w:themeColor="text1"/>
          <w:szCs w:val="22"/>
          <w:u w:val="single" w:color="000000" w:themeColor="text1"/>
        </w:rPr>
        <w:noBreakHyphen/>
        <w:t>two months from the date the taxes would have been due.</w:t>
      </w:r>
      <w:r>
        <w:rPr>
          <w:rFonts w:eastAsiaTheme="minorHAnsi"/>
          <w:color w:val="000000" w:themeColor="text1"/>
          <w:szCs w:val="22"/>
          <w:u w:color="000000" w:themeColor="text1"/>
        </w:rPr>
        <w:t>”</w:t>
      </w:r>
    </w:p>
    <w:p w:rsidR="002F4D54" w:rsidRDefault="002F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2F4D54" w:rsidRDefault="0054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4D54" w:rsidRDefault="002F4D54">
      <w:pPr>
        <w:suppressAutoHyphens/>
      </w:pPr>
    </w:p>
    <w:sectPr w:rsidR="002F4D54" w:rsidSect="002F4D5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D54" w:rsidRDefault="00541E77">
      <w:r>
        <w:separator/>
      </w:r>
    </w:p>
  </w:endnote>
  <w:endnote w:type="continuationSeparator" w:id="0">
    <w:p w:rsidR="002F4D54" w:rsidRDefault="00541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5AFAF4-550A-4BD9-8C32-8733613EC115}"/>
    <w:embedBold r:id="rId2" w:fontKey="{4AE7DDFD-F736-4ACF-9F34-E7960FD39878}"/>
  </w:font>
  <w:font w:name="Calibri">
    <w:panose1 w:val="020F0502020204030204"/>
    <w:charset w:val="00"/>
    <w:family w:val="swiss"/>
    <w:pitch w:val="variable"/>
    <w:sig w:usb0="E10002FF" w:usb1="4000ACFF" w:usb2="00000009" w:usb3="00000000" w:csb0="0000019F" w:csb1="00000000"/>
    <w:embedRegular r:id="rId3" w:fontKey="{85785749-C964-4A32-B783-9F08D01AF50F}"/>
  </w:font>
  <w:font w:name="Cambria">
    <w:panose1 w:val="02040503050406030204"/>
    <w:charset w:val="00"/>
    <w:family w:val="roman"/>
    <w:pitch w:val="variable"/>
    <w:sig w:usb0="E00002FF" w:usb1="400004FF" w:usb2="00000000" w:usb3="00000000" w:csb0="0000019F" w:csb1="00000000"/>
    <w:embedRegular r:id="rId4" w:fontKey="{AD13ECD1-BE2B-419A-91E1-7DC2111722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D54" w:rsidRDefault="00541E77">
    <w:pPr>
      <w:pStyle w:val="Footer"/>
      <w:tabs>
        <w:tab w:val="clear" w:pos="4680"/>
        <w:tab w:val="clear" w:pos="9360"/>
        <w:tab w:val="center" w:pos="2995"/>
      </w:tabs>
      <w:spacing w:before="120"/>
    </w:pPr>
    <w:r>
      <w:t>[4113]</w:t>
    </w:r>
    <w:r>
      <w:tab/>
    </w:r>
    <w:r w:rsidR="00013E2D">
      <w:fldChar w:fldCharType="begin"/>
    </w:r>
    <w:r w:rsidR="00013E2D">
      <w:instrText xml:space="preserve"> PAGE  \* MERGEFORMAT </w:instrText>
    </w:r>
    <w:r w:rsidR="00013E2D">
      <w:fldChar w:fldCharType="separate"/>
    </w:r>
    <w:r w:rsidR="00013E2D">
      <w:rPr>
        <w:noProof/>
      </w:rPr>
      <w:t>1</w:t>
    </w:r>
    <w:r w:rsidR="00013E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D54" w:rsidRDefault="00541E77">
      <w:r>
        <w:separator/>
      </w:r>
    </w:p>
  </w:footnote>
  <w:footnote w:type="continuationSeparator" w:id="0">
    <w:p w:rsidR="002F4D54" w:rsidRDefault="00541E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15HTC09"/>
    <w:docVar w:name="CoverBillType" w:val="b"/>
    <w:docVar w:name="docpath" w:val="L:\Council\bills\BBM\9415HTC09.DOCX"/>
    <w:docVar w:name="dvBillNumber" w:val="4113"/>
    <w:docVar w:name="dvBillNumberPrefix" w:val="H. "/>
    <w:docVar w:name="dvOriginalBody" w:val="House"/>
    <w:docVar w:name="dvSteno" w:val="BBM"/>
    <w:docVar w:name="NameofBody" w:val="h"/>
    <w:docVar w:name="vgroup2" w:val="Council"/>
  </w:docVars>
  <w:rsids>
    <w:rsidRoot w:val="002F4D54"/>
    <w:rsid w:val="00013E2D"/>
    <w:rsid w:val="00131330"/>
    <w:rsid w:val="00207BFB"/>
    <w:rsid w:val="002F4D54"/>
    <w:rsid w:val="00465899"/>
    <w:rsid w:val="00541E77"/>
    <w:rsid w:val="0054647A"/>
    <w:rsid w:val="00820DBB"/>
    <w:rsid w:val="00993A4F"/>
    <w:rsid w:val="009D6759"/>
    <w:rsid w:val="00A47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CD848F-60BB-464A-B4DE-C1EE6617E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D5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4D5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D54"/>
    <w:rPr>
      <w:rFonts w:eastAsia="Times New Roman" w:cs="Times New Roman"/>
      <w:b/>
      <w:sz w:val="30"/>
      <w:szCs w:val="20"/>
    </w:rPr>
  </w:style>
  <w:style w:type="paragraph" w:styleId="Header">
    <w:name w:val="header"/>
    <w:basedOn w:val="Normal"/>
    <w:link w:val="HeaderChar"/>
    <w:uiPriority w:val="99"/>
    <w:semiHidden/>
    <w:unhideWhenUsed/>
    <w:rsid w:val="002F4D54"/>
    <w:pPr>
      <w:tabs>
        <w:tab w:val="center" w:pos="4320"/>
        <w:tab w:val="right" w:pos="8640"/>
      </w:tabs>
    </w:pPr>
  </w:style>
  <w:style w:type="character" w:customStyle="1" w:styleId="HeaderChar">
    <w:name w:val="Header Char"/>
    <w:basedOn w:val="DefaultParagraphFont"/>
    <w:link w:val="Header"/>
    <w:uiPriority w:val="99"/>
    <w:semiHidden/>
    <w:rsid w:val="002F4D54"/>
    <w:rPr>
      <w:rFonts w:eastAsia="Times New Roman" w:cs="Times New Roman"/>
      <w:szCs w:val="20"/>
    </w:rPr>
  </w:style>
  <w:style w:type="paragraph" w:styleId="Footer">
    <w:name w:val="footer"/>
    <w:basedOn w:val="Normal"/>
    <w:link w:val="FooterChar"/>
    <w:uiPriority w:val="99"/>
    <w:unhideWhenUsed/>
    <w:rsid w:val="002F4D54"/>
    <w:pPr>
      <w:tabs>
        <w:tab w:val="center" w:pos="4680"/>
        <w:tab w:val="right" w:pos="9360"/>
      </w:tabs>
    </w:pPr>
  </w:style>
  <w:style w:type="character" w:customStyle="1" w:styleId="FooterChar">
    <w:name w:val="Footer Char"/>
    <w:basedOn w:val="DefaultParagraphFont"/>
    <w:link w:val="Footer"/>
    <w:uiPriority w:val="99"/>
    <w:rsid w:val="002F4D54"/>
    <w:rPr>
      <w:rFonts w:eastAsia="Times New Roman" w:cs="Times New Roman"/>
      <w:szCs w:val="20"/>
    </w:rPr>
  </w:style>
  <w:style w:type="character" w:styleId="PageNumber">
    <w:name w:val="page number"/>
    <w:basedOn w:val="DefaultParagraphFont"/>
    <w:uiPriority w:val="99"/>
    <w:semiHidden/>
    <w:unhideWhenUsed/>
    <w:rsid w:val="002F4D54"/>
  </w:style>
  <w:style w:type="character" w:styleId="LineNumber">
    <w:name w:val="line number"/>
    <w:basedOn w:val="DefaultParagraphFont"/>
    <w:uiPriority w:val="99"/>
    <w:semiHidden/>
    <w:unhideWhenUsed/>
    <w:rsid w:val="002F4D54"/>
  </w:style>
  <w:style w:type="paragraph" w:customStyle="1" w:styleId="BillDots">
    <w:name w:val="Bill Dots"/>
    <w:basedOn w:val="Normal"/>
    <w:qFormat/>
    <w:rsid w:val="002F4D5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F4D54"/>
    <w:pPr>
      <w:tabs>
        <w:tab w:val="right" w:pos="5904"/>
      </w:tabs>
    </w:pPr>
  </w:style>
  <w:style w:type="character" w:styleId="Hyperlink">
    <w:name w:val="Hyperlink"/>
    <w:basedOn w:val="DefaultParagraphFont"/>
    <w:uiPriority w:val="99"/>
    <w:unhideWhenUsed/>
    <w:rsid w:val="002F4D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21-09.docx" TargetMode="External"/><Relationship Id="rId3" Type="http://schemas.openxmlformats.org/officeDocument/2006/relationships/settings" Target="settings.xml"/><Relationship Id="rId7" Type="http://schemas.openxmlformats.org/officeDocument/2006/relationships/hyperlink" Target="file:///h:\HJ%20Archive\2009\05-2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13_200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6419E-F5BE-4F59-8544-6CB55BF49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1839</Words>
  <Characters>9321</Characters>
  <Application>Microsoft Office Word</Application>
  <DocSecurity>0</DocSecurity>
  <Lines>247</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4113: County tax collectors - South Carolina Legislature Online</dc:title>
  <dc:subject/>
  <dc:creator>Brenda Melton</dc:creator>
  <cp:keywords/>
  <dc:description/>
  <cp:lastModifiedBy>N Cumfer</cp:lastModifiedBy>
  <cp:revision>11</cp:revision>
  <cp:lastPrinted>2009-05-20T20:49:00Z</cp:lastPrinted>
  <dcterms:created xsi:type="dcterms:W3CDTF">2009-05-21T16:15:00Z</dcterms:created>
  <dcterms:modified xsi:type="dcterms:W3CDTF">2014-11-24T16:18:00Z</dcterms:modified>
</cp:coreProperties>
</file>