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7F2" w:rsidRDefault="00A62923">
      <w:pPr>
        <w:widowControl w:val="0"/>
        <w:jc w:val="center"/>
      </w:pPr>
      <w:bookmarkStart w:id="0" w:name="_GoBack"/>
      <w:bookmarkEnd w:id="0"/>
      <w:r>
        <w:rPr>
          <w:b/>
        </w:rPr>
        <w:t>South Carolina General Assembly</w:t>
      </w:r>
    </w:p>
    <w:p w:rsidR="00A347F2" w:rsidRDefault="00A62923">
      <w:pPr>
        <w:widowControl w:val="0"/>
        <w:jc w:val="center"/>
      </w:pPr>
      <w:r>
        <w:t>118th Session, 2009-2010</w:t>
      </w:r>
    </w:p>
    <w:p w:rsidR="00A347F2" w:rsidRDefault="00A347F2">
      <w:pPr>
        <w:widowControl w:val="0"/>
      </w:pPr>
    </w:p>
    <w:p w:rsidR="00A347F2" w:rsidRDefault="00A62923">
      <w:pPr>
        <w:widowControl w:val="0"/>
        <w:rPr>
          <w:b/>
        </w:rPr>
      </w:pPr>
      <w:r>
        <w:rPr>
          <w:b/>
        </w:rPr>
        <w:t>S. 436</w:t>
      </w:r>
    </w:p>
    <w:p w:rsidR="00A347F2" w:rsidRDefault="00A347F2">
      <w:pPr>
        <w:widowControl w:val="0"/>
        <w:rPr>
          <w:b/>
        </w:rPr>
      </w:pPr>
    </w:p>
    <w:p w:rsidR="00A347F2" w:rsidRDefault="00A62923">
      <w:pPr>
        <w:widowControl w:val="0"/>
      </w:pPr>
      <w:r>
        <w:rPr>
          <w:b/>
        </w:rPr>
        <w:t>STATUS INFORMATION</w:t>
      </w:r>
    </w:p>
    <w:p w:rsidR="00A347F2" w:rsidRDefault="00A347F2">
      <w:pPr>
        <w:widowControl w:val="0"/>
      </w:pPr>
    </w:p>
    <w:p w:rsidR="00A347F2" w:rsidRDefault="00A62923">
      <w:pPr>
        <w:widowControl w:val="0"/>
      </w:pPr>
      <w:r>
        <w:t>General Bill</w:t>
      </w:r>
    </w:p>
    <w:p w:rsidR="00A347F2" w:rsidRDefault="00A62923">
      <w:pPr>
        <w:widowControl w:val="0"/>
      </w:pPr>
      <w:r>
        <w:t>Sponsors: Senators Bright, Leatherman, Campbell, Ryberg, Bryant, Cromer, Pinckney, Verdin, Fair, Davis, Shoopman and L. Martin</w:t>
      </w:r>
    </w:p>
    <w:p w:rsidR="00A347F2" w:rsidRDefault="00A62923">
      <w:pPr>
        <w:widowControl w:val="0"/>
      </w:pPr>
      <w:r>
        <w:t>Document Path: l:\s-res\lb\005pros.kmm.lb.docx</w:t>
      </w:r>
    </w:p>
    <w:p w:rsidR="00A347F2" w:rsidRDefault="00A347F2">
      <w:pPr>
        <w:widowControl w:val="0"/>
      </w:pPr>
    </w:p>
    <w:p w:rsidR="00A347F2" w:rsidRDefault="00A62923">
      <w:pPr>
        <w:widowControl w:val="0"/>
      </w:pPr>
      <w:r>
        <w:t>Introduced in the Senate on February 18, 2009</w:t>
      </w:r>
    </w:p>
    <w:p w:rsidR="00A347F2" w:rsidRDefault="00A62923">
      <w:pPr>
        <w:widowControl w:val="0"/>
      </w:pPr>
      <w:r>
        <w:t xml:space="preserve">Currently residing in the Senate Committee on </w:t>
      </w:r>
      <w:r>
        <w:rPr>
          <w:b/>
        </w:rPr>
        <w:t>Judiciary</w:t>
      </w:r>
    </w:p>
    <w:p w:rsidR="00A347F2" w:rsidRDefault="00A347F2">
      <w:pPr>
        <w:widowControl w:val="0"/>
      </w:pPr>
    </w:p>
    <w:p w:rsidR="00A347F2" w:rsidRDefault="00A62923">
      <w:pPr>
        <w:widowControl w:val="0"/>
      </w:pPr>
      <w:r>
        <w:t>Summary: Prostitution</w:t>
      </w:r>
    </w:p>
    <w:p w:rsidR="00A347F2" w:rsidRDefault="00A347F2">
      <w:pPr>
        <w:widowControl w:val="0"/>
      </w:pPr>
    </w:p>
    <w:p w:rsidR="00A347F2" w:rsidRDefault="00A347F2">
      <w:pPr>
        <w:widowControl w:val="0"/>
      </w:pPr>
    </w:p>
    <w:p w:rsidR="00A347F2" w:rsidRDefault="00A62923">
      <w:pPr>
        <w:widowControl w:val="0"/>
        <w:tabs>
          <w:tab w:val="center" w:pos="590"/>
          <w:tab w:val="center" w:pos="1440"/>
          <w:tab w:val="left" w:pos="1872"/>
          <w:tab w:val="left" w:pos="9187"/>
        </w:tabs>
      </w:pPr>
      <w:r>
        <w:rPr>
          <w:b/>
        </w:rPr>
        <w:t>HISTORY OF LEGISLATIVE ACTIONS</w:t>
      </w:r>
    </w:p>
    <w:p w:rsidR="00A347F2" w:rsidRDefault="00A347F2">
      <w:pPr>
        <w:widowControl w:val="0"/>
        <w:tabs>
          <w:tab w:val="center" w:pos="590"/>
          <w:tab w:val="center" w:pos="1440"/>
          <w:tab w:val="left" w:pos="1872"/>
          <w:tab w:val="left" w:pos="9187"/>
        </w:tabs>
      </w:pPr>
    </w:p>
    <w:p w:rsidR="00A347F2" w:rsidRDefault="00A6292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347F2" w:rsidRDefault="00A62923">
      <w:pPr>
        <w:widowControl w:val="0"/>
        <w:tabs>
          <w:tab w:val="right" w:pos="1008"/>
          <w:tab w:val="left" w:pos="1152"/>
          <w:tab w:val="left" w:pos="1872"/>
          <w:tab w:val="left" w:pos="9187"/>
        </w:tabs>
        <w:ind w:left="2088" w:hanging="2088"/>
      </w:pPr>
      <w:r>
        <w:tab/>
        <w:t>2/18/2009</w:t>
      </w:r>
      <w:r>
        <w:tab/>
        <w:t>Senate</w:t>
      </w:r>
      <w:r>
        <w:tab/>
        <w:t xml:space="preserve">Introduced and read first time </w:t>
      </w:r>
      <w:hyperlink r:id="rId6" w:history="1">
        <w:r w:rsidRPr="008C4B47">
          <w:rPr>
            <w:rStyle w:val="Hyperlink"/>
          </w:rPr>
          <w:t>SJ</w:t>
        </w:r>
      </w:hyperlink>
      <w:r>
        <w:noBreakHyphen/>
        <w:t>4</w:t>
      </w:r>
    </w:p>
    <w:p w:rsidR="00A347F2" w:rsidRDefault="00A62923">
      <w:pPr>
        <w:widowControl w:val="0"/>
        <w:tabs>
          <w:tab w:val="right" w:pos="1008"/>
          <w:tab w:val="left" w:pos="1152"/>
          <w:tab w:val="left" w:pos="1872"/>
          <w:tab w:val="left" w:pos="9187"/>
        </w:tabs>
        <w:ind w:left="2088" w:hanging="2088"/>
      </w:pPr>
      <w:r>
        <w:tab/>
        <w:t>2/18/2009</w:t>
      </w:r>
      <w:r>
        <w:tab/>
        <w:t>Senate</w:t>
      </w:r>
      <w:r>
        <w:tab/>
        <w:t xml:space="preserve">Referred to Committee on </w:t>
      </w:r>
      <w:r>
        <w:rPr>
          <w:b/>
        </w:rPr>
        <w:t>Judiciary</w:t>
      </w:r>
      <w:r>
        <w:t xml:space="preserve"> </w:t>
      </w:r>
      <w:hyperlink r:id="rId7" w:history="1">
        <w:r w:rsidRPr="008C4B47">
          <w:rPr>
            <w:rStyle w:val="Hyperlink"/>
          </w:rPr>
          <w:t>SJ</w:t>
        </w:r>
      </w:hyperlink>
      <w:r>
        <w:noBreakHyphen/>
        <w:t>4</w:t>
      </w:r>
    </w:p>
    <w:p w:rsidR="00A347F2" w:rsidRDefault="00A62923">
      <w:pPr>
        <w:widowControl w:val="0"/>
        <w:tabs>
          <w:tab w:val="right" w:pos="1008"/>
          <w:tab w:val="left" w:pos="1152"/>
          <w:tab w:val="left" w:pos="1872"/>
          <w:tab w:val="left" w:pos="9187"/>
        </w:tabs>
        <w:ind w:left="2088" w:hanging="2088"/>
      </w:pPr>
      <w:r>
        <w:tab/>
        <w:t>3/2/2009</w:t>
      </w:r>
      <w:r>
        <w:tab/>
        <w:t>Senate</w:t>
      </w:r>
      <w:r>
        <w:tab/>
        <w:t>Referred to Subcommittee: Knotts (ch), Massey, Coleman</w:t>
      </w:r>
    </w:p>
    <w:p w:rsidR="00A347F2" w:rsidRDefault="00A347F2">
      <w:pPr>
        <w:widowControl w:val="0"/>
        <w:tabs>
          <w:tab w:val="right" w:pos="1008"/>
          <w:tab w:val="left" w:pos="1152"/>
          <w:tab w:val="left" w:pos="1872"/>
          <w:tab w:val="left" w:pos="9187"/>
        </w:tabs>
        <w:ind w:left="2088" w:hanging="2088"/>
      </w:pPr>
    </w:p>
    <w:p w:rsidR="00A347F2" w:rsidRDefault="00A347F2">
      <w:pPr>
        <w:widowControl w:val="0"/>
        <w:tabs>
          <w:tab w:val="right" w:pos="1008"/>
          <w:tab w:val="left" w:pos="1152"/>
          <w:tab w:val="left" w:pos="1872"/>
          <w:tab w:val="left" w:pos="9187"/>
        </w:tabs>
        <w:ind w:left="2088" w:hanging="2088"/>
      </w:pPr>
    </w:p>
    <w:p w:rsidR="00A347F2" w:rsidRDefault="00A62923">
      <w:pPr>
        <w:widowControl w:val="0"/>
      </w:pPr>
      <w:r>
        <w:rPr>
          <w:b/>
        </w:rPr>
        <w:t>VERSIONS OF THIS BILL</w:t>
      </w:r>
    </w:p>
    <w:p w:rsidR="00A347F2" w:rsidRDefault="00A347F2">
      <w:pPr>
        <w:widowControl w:val="0"/>
      </w:pPr>
    </w:p>
    <w:p w:rsidR="00A347F2" w:rsidRDefault="005205BA">
      <w:pPr>
        <w:widowControl w:val="0"/>
      </w:pPr>
      <w:hyperlink r:id="rId8" w:history="1">
        <w:r w:rsidR="00A62923">
          <w:rPr>
            <w:rStyle w:val="Hyperlink"/>
          </w:rPr>
          <w:t>2/18/2009</w:t>
        </w:r>
      </w:hyperlink>
    </w:p>
    <w:p w:rsidR="00A347F2" w:rsidRDefault="00A347F2"/>
    <w:p w:rsidR="00A347F2" w:rsidRDefault="00A347F2">
      <w:pPr>
        <w:sectPr w:rsidR="00A347F2">
          <w:pgSz w:w="12240" w:h="15840" w:code="1"/>
          <w:pgMar w:top="1080" w:right="1440" w:bottom="1080" w:left="1440" w:header="720" w:footer="720" w:gutter="0"/>
          <w:cols w:space="720"/>
          <w:noEndnote/>
          <w:docGrid w:linePitch="360"/>
        </w:sect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Pr>
          <w:rFonts w:eastAsia="Times New Roman"/>
        </w:rPr>
        <w:noBreakHyphen/>
        <w:t>15</w:t>
      </w:r>
      <w:r>
        <w:rPr>
          <w:rFonts w:eastAsia="Times New Roman"/>
        </w:rPr>
        <w:noBreakHyphen/>
        <w:t>110 OF THE 1976 CODE, RELATING TO PENALTIES FOR A VIOLATION OF SECTION 16</w:t>
      </w:r>
      <w:r>
        <w:rPr>
          <w:rFonts w:eastAsia="Times New Roman"/>
        </w:rPr>
        <w:noBreakHyphen/>
        <w:t>15</w:t>
      </w:r>
      <w:r>
        <w:rPr>
          <w:rFonts w:eastAsia="Times New Roman"/>
        </w:rPr>
        <w:noBreakHyphen/>
        <w:t>90 OR SECTION 16</w:t>
      </w:r>
      <w:r>
        <w:rPr>
          <w:rFonts w:eastAsia="Times New Roman"/>
        </w:rPr>
        <w:noBreakHyphen/>
        <w:t>15</w:t>
      </w:r>
      <w:r>
        <w:rPr>
          <w:rFonts w:eastAsia="Times New Roman"/>
        </w:rPr>
        <w:noBreakHyphen/>
        <w:t>100, BOTH RELATING TO PROSTITUTION, TO PROVIDE THAT CERTAIN REAL AND PERSONAL PROPERTY MAY BE FORFEITED FOR VIOLATIONS OF SECTION 16</w:t>
      </w:r>
      <w:r>
        <w:rPr>
          <w:rFonts w:eastAsia="Times New Roman"/>
        </w:rPr>
        <w:noBreakHyphen/>
        <w:t>15</w:t>
      </w:r>
      <w:r>
        <w:rPr>
          <w:rFonts w:eastAsia="Times New Roman"/>
        </w:rPr>
        <w:noBreakHyphen/>
        <w:t>90 AND SECTION 16</w:t>
      </w:r>
      <w:r>
        <w:rPr>
          <w:rFonts w:eastAsia="Times New Roman"/>
        </w:rPr>
        <w:noBreakHyphen/>
        <w:t>15</w:t>
      </w:r>
      <w:r>
        <w:rPr>
          <w:rFonts w:eastAsia="Times New Roman"/>
        </w:rPr>
        <w:noBreakHyphen/>
        <w:t xml:space="preserve">100, AND TO PROVIDE FOR FORFEITURE PROCEDURES, DISPOSITION OF FORFEITED ITEMS, AND THE DISPOSITION OF PROCEEDS OF SALES. </w:t>
      </w: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w:t>
      </w:r>
      <w:r>
        <w:rPr>
          <w:rFonts w:eastAsia="Times New Roman"/>
        </w:rPr>
        <w:noBreakHyphen/>
        <w:t>15</w:t>
      </w:r>
      <w:r>
        <w:rPr>
          <w:rFonts w:eastAsia="Times New Roman"/>
        </w:rPr>
        <w:noBreakHyphen/>
        <w:t>110 of the 1976 Code is amended to read:</w:t>
      </w: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15</w:t>
      </w:r>
      <w:r>
        <w:rPr>
          <w:rFonts w:eastAsia="Times New Roman"/>
        </w:rPr>
        <w:noBreakHyphen/>
        <w:t>110.</w:t>
      </w:r>
      <w:r>
        <w:rPr>
          <w:rFonts w:eastAsia="Times New Roman"/>
        </w:rPr>
        <w:tab/>
      </w:r>
      <w:r>
        <w:rPr>
          <w:rFonts w:eastAsia="Times New Roman"/>
          <w:u w:val="single"/>
        </w:rPr>
        <w:t>(A)</w:t>
      </w:r>
      <w:r>
        <w:rPr>
          <w:rFonts w:eastAsia="Times New Roman"/>
        </w:rPr>
        <w:tab/>
      </w:r>
      <w:r>
        <w:rPr>
          <w:rFonts w:eastAsia="Times New Roman"/>
          <w:szCs w:val="24"/>
        </w:rPr>
        <w:t>Any person violating any provision of Sections  16</w:t>
      </w:r>
      <w:r>
        <w:rPr>
          <w:rFonts w:eastAsia="Times New Roman"/>
          <w:szCs w:val="24"/>
        </w:rPr>
        <w:noBreakHyphen/>
        <w:t>15</w:t>
      </w:r>
      <w:r>
        <w:rPr>
          <w:rFonts w:eastAsia="Times New Roman"/>
          <w:szCs w:val="24"/>
        </w:rPr>
        <w:noBreakHyphen/>
        <w:t xml:space="preserve">90 </w:t>
      </w:r>
      <w:r>
        <w:rPr>
          <w:rFonts w:eastAsia="Times New Roman"/>
          <w:strike/>
          <w:szCs w:val="24"/>
        </w:rPr>
        <w:t>and</w:t>
      </w:r>
      <w:r>
        <w:rPr>
          <w:rFonts w:eastAsia="Times New Roman"/>
          <w:szCs w:val="24"/>
        </w:rPr>
        <w:t xml:space="preserve"> </w:t>
      </w:r>
      <w:r>
        <w:rPr>
          <w:rFonts w:eastAsia="Times New Roman"/>
          <w:szCs w:val="24"/>
          <w:u w:val="single"/>
        </w:rPr>
        <w:t>or</w:t>
      </w:r>
      <w:r>
        <w:rPr>
          <w:rFonts w:eastAsia="Times New Roman"/>
          <w:szCs w:val="24"/>
        </w:rPr>
        <w:t xml:space="preserve"> 16</w:t>
      </w:r>
      <w:r>
        <w:rPr>
          <w:rFonts w:eastAsia="Times New Roman"/>
          <w:szCs w:val="24"/>
        </w:rPr>
        <w:noBreakHyphen/>
        <w:t>15</w:t>
      </w:r>
      <w:r>
        <w:rPr>
          <w:rFonts w:eastAsia="Times New Roman"/>
          <w:szCs w:val="24"/>
        </w:rPr>
        <w:noBreakHyphen/>
        <w:t xml:space="preserve">100 must, upon conviction, be punished as follows: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for the first offense, a fine not exceeding two hundred dollars or confinement in prison for a period of not more than thirty days;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for the second offense, a fine not exceeding one thousand dollars or imprisonment for not exceeding six months, or both;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for the third or any subsequent offense, a fine not exceeding three thousand dollars or imprisonment for not less than one year, or both.</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(B)(1)</w:t>
      </w:r>
      <w:r>
        <w:rPr>
          <w:rFonts w:eastAsia="Times New Roman"/>
          <w:szCs w:val="24"/>
        </w:rPr>
        <w:tab/>
      </w:r>
      <w:r>
        <w:rPr>
          <w:rFonts w:eastAsia="Times New Roman"/>
          <w:szCs w:val="24"/>
          <w:u w:val="single"/>
        </w:rPr>
        <w:t>The following are subject to forfeiture for violating any provision of Sections 16</w:t>
      </w:r>
      <w:r>
        <w:rPr>
          <w:rFonts w:eastAsia="Times New Roman"/>
          <w:szCs w:val="24"/>
          <w:u w:val="single"/>
        </w:rPr>
        <w:noBreakHyphen/>
        <w:t>15</w:t>
      </w:r>
      <w:r>
        <w:rPr>
          <w:rFonts w:eastAsia="Times New Roman"/>
          <w:szCs w:val="24"/>
          <w:u w:val="single"/>
        </w:rPr>
        <w:noBreakHyphen/>
        <w:t>90 or 16</w:t>
      </w:r>
      <w:r>
        <w:rPr>
          <w:rFonts w:eastAsia="Times New Roman"/>
          <w:szCs w:val="24"/>
          <w:u w:val="single"/>
        </w:rPr>
        <w:noBreakHyphen/>
        <w:t>15</w:t>
      </w:r>
      <w:r>
        <w:rPr>
          <w:rFonts w:eastAsia="Times New Roman"/>
          <w:szCs w:val="24"/>
          <w:u w:val="single"/>
        </w:rPr>
        <w:noBreakHyphen/>
        <w:t>100:</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t xml:space="preserve"> </w:t>
      </w:r>
      <w:r>
        <w:rPr>
          <w:u w:val="single"/>
        </w:rPr>
        <w:t>all property, both real and personal, which is used, or which has been positioned for use, in facilitating a violation of Sections 16</w:t>
      </w:r>
      <w:r>
        <w:rPr>
          <w:u w:val="single"/>
        </w:rPr>
        <w:noBreakHyphen/>
        <w:t>15</w:t>
      </w:r>
      <w:r>
        <w:rPr>
          <w:u w:val="single"/>
        </w:rPr>
        <w:noBreakHyphen/>
        <w:t>90 or 16</w:t>
      </w:r>
      <w:r>
        <w:rPr>
          <w:u w:val="single"/>
        </w:rPr>
        <w:noBreakHyphen/>
        <w:t>15</w:t>
      </w:r>
      <w:r>
        <w:rPr>
          <w:u w:val="single"/>
        </w:rPr>
        <w:noBreakHyphen/>
        <w:t>100;</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Pr>
          <w:u w:val="single"/>
        </w:rPr>
        <w:t>(b)</w:t>
      </w:r>
      <w:r>
        <w:tab/>
      </w:r>
      <w:r>
        <w:rPr>
          <w:u w:val="single"/>
        </w:rPr>
        <w:t>all conveyances including, but not limited to, trailers, aircraft, motor vehicles, and watergoing vessels which are used or intended for use in activities prohibited by Sections 16</w:t>
      </w:r>
      <w:r>
        <w:rPr>
          <w:u w:val="single"/>
        </w:rPr>
        <w:noBreakHyphen/>
        <w:t>15</w:t>
      </w:r>
      <w:r>
        <w:rPr>
          <w:u w:val="single"/>
        </w:rPr>
        <w:noBreakHyphen/>
        <w:t>90 or 16</w:t>
      </w:r>
      <w:r>
        <w:rPr>
          <w:u w:val="single"/>
        </w:rPr>
        <w:noBreakHyphen/>
        <w:t>15</w:t>
      </w:r>
      <w:r>
        <w:rPr>
          <w:u w:val="single"/>
        </w:rPr>
        <w:noBreakHyphen/>
        <w:t>100;</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all property including, but not limited to, monies, negotiable instruments, securities, or other things of value furnished or intended to be furnished by any person in exchange an act prohibited by Sections 16</w:t>
      </w:r>
      <w:r>
        <w:rPr>
          <w:u w:val="single"/>
        </w:rPr>
        <w:noBreakHyphen/>
        <w:t>15</w:t>
      </w:r>
      <w:r>
        <w:rPr>
          <w:u w:val="single"/>
        </w:rPr>
        <w:noBreakHyphen/>
        <w:t>90 or 16</w:t>
      </w:r>
      <w:r>
        <w:rPr>
          <w:u w:val="single"/>
        </w:rPr>
        <w:noBreakHyphen/>
        <w:t>15</w:t>
      </w:r>
      <w:r>
        <w:rPr>
          <w:u w:val="single"/>
        </w:rPr>
        <w:noBreakHyphen/>
        <w:t>100, and all proceeds including, but not limited to, monies, and real and personal property traceable to any exchange;</w:t>
      </w:r>
      <w: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(d)</w:t>
      </w:r>
      <w:r>
        <w:tab/>
      </w:r>
      <w:r>
        <w:rPr>
          <w:u w:val="single"/>
        </w:rPr>
        <w:t>all monies seized in close proximity to forfeitable property, both real and personal, or in close proximity to forfeitable records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(2)</w:t>
      </w:r>
      <w:r>
        <w:tab/>
      </w:r>
      <w:r>
        <w:rPr>
          <w:rFonts w:eastAsia="Times New Roman"/>
          <w:szCs w:val="24"/>
          <w:u w:val="single"/>
        </w:rPr>
        <w:t>Any property subject to forfeiture under this section may be seized by the department having authority upon warrant issued by any court having jurisdiction over the property.  Seizure without process may be made if:</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the seizure is incident to an arrest or a search under a search warrant or an inspection under an administrative inspection warrant;</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the property subject to seizure has been the subject of a prior judgment in favor of the State in a criminal injunction or forfeiture proceeding based upon this section;</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the department has probable cause to believe that the property is directly or indirectly dangerous to health or safety; or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 xml:space="preserve">the department has probable cause to believe that the property was used or is intended to be used in violation of </w:t>
      </w:r>
      <w:r>
        <w:rPr>
          <w:u w:val="single"/>
        </w:rPr>
        <w:t>Sections 16</w:t>
      </w:r>
      <w:r>
        <w:rPr>
          <w:u w:val="single"/>
        </w:rPr>
        <w:noBreakHyphen/>
        <w:t>15</w:t>
      </w:r>
      <w:r>
        <w:rPr>
          <w:u w:val="single"/>
        </w:rPr>
        <w:noBreakHyphen/>
        <w:t>90 or 16</w:t>
      </w:r>
      <w:r>
        <w:rPr>
          <w:u w:val="single"/>
        </w:rPr>
        <w:noBreakHyphen/>
        <w:t>15</w:t>
      </w:r>
      <w:r>
        <w:rPr>
          <w:u w:val="single"/>
        </w:rPr>
        <w:noBreakHyphen/>
        <w:t>100</w:t>
      </w:r>
      <w:r>
        <w:rPr>
          <w:rFonts w:eastAsia="Times New Roman"/>
          <w:szCs w:val="24"/>
          <w:u w:val="single"/>
        </w:rPr>
        <w:t>.</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In the event of seizure pursuant to item (2), proceedings under subsection (C) regarding forfeiture and disposition must be instituted within a reasonable time.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(4)</w:t>
      </w:r>
      <w:r>
        <w:rPr>
          <w:rFonts w:eastAsia="Times New Roman"/>
          <w:szCs w:val="24"/>
        </w:rPr>
        <w:tab/>
      </w:r>
      <w:r>
        <w:rPr>
          <w:rFonts w:eastAsia="Times New Roman"/>
          <w:szCs w:val="24"/>
          <w:u w:val="single"/>
        </w:rPr>
        <w:t>Any property taken or detained under this section is not subject to replevin but is considered to be in the custody of the department making the seizure subject only to the orders of the court having jurisdiction over the forfeiture proceedings.  Property described in subsection (B) is forfeited and transferred to the government at the moment of illegal use.  Seizure and forfeiture proceedings confirm the transfer.</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Pr>
          <w:u w:val="single"/>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(7)</w:t>
      </w:r>
      <w:r>
        <w:tab/>
      </w:r>
      <w:r>
        <w:rPr>
          <w:rFonts w:eastAsia="Times New Roman"/>
          <w:szCs w:val="24"/>
          <w:u w:val="single"/>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The report shall provide the following information with respect to the property seized: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description;</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 xml:space="preserve">circumstances of seizure;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present custodian and where the property is being stored or its location;</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(iv)</w:t>
      </w:r>
      <w:r>
        <w:rPr>
          <w:rFonts w:eastAsia="Times New Roman"/>
          <w:szCs w:val="24"/>
        </w:rPr>
        <w:tab/>
      </w:r>
      <w:r>
        <w:rPr>
          <w:rFonts w:eastAsia="Times New Roman"/>
          <w:szCs w:val="24"/>
          <w:u w:val="single"/>
        </w:rPr>
        <w:t>name of owner;</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w:t>
      </w:r>
      <w:r>
        <w:rPr>
          <w:rFonts w:eastAsia="Times New Roman"/>
          <w:szCs w:val="24"/>
        </w:rPr>
        <w:tab/>
      </w:r>
      <w:r>
        <w:rPr>
          <w:rFonts w:eastAsia="Times New Roman"/>
          <w:szCs w:val="24"/>
          <w:u w:val="single"/>
        </w:rPr>
        <w:t>name of lienholder, if any;</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(vi)</w:t>
      </w:r>
      <w:r>
        <w:rPr>
          <w:rFonts w:eastAsia="Times New Roman"/>
          <w:szCs w:val="24"/>
        </w:rPr>
        <w:tab/>
      </w:r>
      <w:r>
        <w:rPr>
          <w:rFonts w:eastAsia="Times New Roman"/>
          <w:szCs w:val="24"/>
          <w:u w:val="single"/>
        </w:rPr>
        <w:t>seizing agency; and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(vii)</w:t>
      </w:r>
      <w:r>
        <w:rPr>
          <w:rFonts w:eastAsia="Times New Roman"/>
          <w:szCs w:val="24"/>
        </w:rPr>
        <w:tab/>
      </w:r>
      <w:r>
        <w:rPr>
          <w:rFonts w:eastAsia="Times New Roman"/>
          <w:szCs w:val="24"/>
          <w:u w:val="single"/>
        </w:rPr>
        <w:t>the charges brought against the defendant.</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If the property is a conveyance, the report shall include the:</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make, model, serial number, and year of the conveyance;</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person in whose name the conveyance is registered;  and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name of any lienholders.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In addition to the report provided for in items (a) and (b), the law enforcement agency shall prepare for dissemination to the public upon request a report providing the following information:</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a description of the quantity and nature of the property and money seized;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the seizing agency;</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the type and quantity of the controlled substance involved;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(iv)</w:t>
      </w:r>
      <w:r>
        <w:rPr>
          <w:rFonts w:eastAsia="Times New Roman"/>
          <w:szCs w:val="24"/>
        </w:rPr>
        <w:tab/>
      </w:r>
      <w:r>
        <w:rPr>
          <w:rFonts w:eastAsia="Times New Roman"/>
          <w:szCs w:val="24"/>
          <w:u w:val="single"/>
        </w:rPr>
        <w:t>the make, model, and year of a conveyance;  and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w:t>
      </w:r>
      <w:r>
        <w:rPr>
          <w:rFonts w:eastAsia="Times New Roman"/>
          <w:szCs w:val="24"/>
        </w:rPr>
        <w:tab/>
      </w:r>
      <w:r>
        <w:rPr>
          <w:rFonts w:eastAsia="Times New Roman"/>
          <w:szCs w:val="24"/>
          <w:u w:val="single"/>
        </w:rPr>
        <w:t>the law enforcement agency responsible for the property or conveyance seized.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(8)</w:t>
      </w:r>
      <w:r>
        <w:rPr>
          <w:rFonts w:eastAsia="Times New Roman"/>
          <w:szCs w:val="24"/>
        </w:rPr>
        <w:tab/>
      </w:r>
      <w:r>
        <w:rPr>
          <w:rFonts w:eastAsia="Times New Roman"/>
          <w:szCs w:val="24"/>
          <w:u w:val="single"/>
        </w:rPr>
        <w:t>Property or conveyances seized by a law enforcement agency or department must not be used by officers for personal purposes.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(C)(1)(a)</w:t>
      </w:r>
      <w:r>
        <w:rPr>
          <w:rFonts w:eastAsia="Times New Roman"/>
          <w:szCs w:val="24"/>
        </w:rPr>
        <w:tab/>
      </w:r>
      <w:r>
        <w:rPr>
          <w:rFonts w:eastAsia="Times New Roman"/>
          <w:szCs w:val="24"/>
          <w:u w:val="single"/>
        </w:rPr>
        <w:t>Forfeiture of property defined in subsection (A)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charges against the defendant.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u w:val="single"/>
        </w:rPr>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subsection (B).</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item (5) of this subsection.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(d)</w:t>
      </w:r>
      <w:r>
        <w:tab/>
      </w:r>
      <w:r>
        <w:rPr>
          <w:u w:val="single"/>
        </w:rPr>
        <w:t>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w:t>
      </w:r>
      <w: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(e)</w:t>
      </w:r>
      <w:r>
        <w:rPr>
          <w:rFonts w:eastAsia="Times New Roman"/>
          <w:szCs w:val="24"/>
        </w:rPr>
        <w:tab/>
      </w:r>
      <w:r>
        <w:rPr>
          <w:u w:val="single"/>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(2)</w:t>
      </w:r>
      <w:r>
        <w:tab/>
      </w:r>
      <w:r>
        <w:rPr>
          <w:rFonts w:eastAsia="Times New Roman"/>
          <w:szCs w:val="24"/>
          <w:u w:val="single"/>
        </w:rPr>
        <w:t>If the property is seized by a state law enforcement agency and is not transferred by the court to the seizing agency, the judge shall order it transferred to the Division of General Services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may authorize payment of like expenses in cases where monies, negotiable instruments, or securities are seized and forfeited.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(4)</w:t>
      </w:r>
      <w:r>
        <w:rPr>
          <w:rFonts w:eastAsia="Times New Roman"/>
          <w:szCs w:val="24"/>
        </w:rPr>
        <w:tab/>
      </w:r>
      <w:r>
        <w:rPr>
          <w:rFonts w:eastAsia="Times New Roman"/>
          <w:szCs w:val="24"/>
          <w:u w:val="single"/>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All proceeds of property and cash forfeited by consent order must be disposed of as provided in subsection (5) of this section.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All real or personal property, conveyances, and equipment of any value defined in subsection (B), when reduced to proceeds, any cash more than one thousand dollars, any negotiable instruments, and any securities which are seized and forfeited must be disposed of as follows: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seventy</w:t>
      </w:r>
      <w:r>
        <w:rPr>
          <w:rFonts w:eastAsia="Times New Roman"/>
          <w:szCs w:val="24"/>
          <w:u w:val="single"/>
        </w:rPr>
        <w:noBreakHyphen/>
        <w:t>five percent to the law enforcement agency or agencies;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 xml:space="preserve">twenty percent to the prosecuting agency; and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five percent must be remitted to the State Treasurer and deposited to the credit of the general fund of the State.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Pr>
          <w:rFonts w:eastAsia="Times New Roman"/>
          <w:szCs w:val="24"/>
          <w:u w:val="single"/>
        </w:rPr>
        <w:t>The first one thousand dollars of any cash seized and forfeited pursuant to this article remains with and is the property of the law enforcement agency which effected the seizure unless otherwise agreed to by the law enforcement agency and prosecuting agency.</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(7)(a)</w:t>
      </w:r>
      <w:r>
        <w:rPr>
          <w:rFonts w:eastAsia="Times New Roman"/>
          <w:szCs w:val="24"/>
        </w:rPr>
        <w:tab/>
      </w:r>
      <w:r>
        <w:rPr>
          <w:rFonts w:eastAsia="Times New Roman"/>
          <w:szCs w:val="24"/>
          <w:u w:val="single"/>
        </w:rPr>
        <w:t>All forfeited monies and proceeds from the sale of forfeited property as defined in subsection (B)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and for prosecution agencies, the accounts must be used in matters relating to the prosecution of drug offenses and litigation of drug related matters.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 xml:space="preserve">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In the case of a state law enforcement agency or state prosecution agency, monies and proceeds must be remitted to the State Treasurer who shall establish separate, special accounts as provided in this section for local agencies.</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 xml:space="preserve">All expenditures from these accounts must be documented, and the documentation made available for audit purposes and upon request by a person under the provisions of Chapter 4 of Title 30, the Freedom of Information Act.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(8)</w:t>
      </w:r>
      <w:r>
        <w:rPr>
          <w:rFonts w:eastAsia="Times New Roman"/>
          <w:szCs w:val="24"/>
        </w:rPr>
        <w:tab/>
      </w:r>
      <w:r>
        <w:rPr>
          <w:rFonts w:eastAsia="Times New Roman"/>
          <w:szCs w:val="24"/>
          <w:u w:val="single"/>
        </w:rPr>
        <w:t>The use of all property forfeited pursuant to subsection (B) and retained by the law enforcement agency must be documented and the documentation available upon request by a person subject to the provisions of Chapter 4 of Title 30.</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(9)</w:t>
      </w:r>
      <w:r>
        <w:rPr>
          <w:rFonts w:eastAsia="Times New Roman"/>
          <w:szCs w:val="24"/>
        </w:rPr>
        <w:tab/>
      </w:r>
      <w:r>
        <w:rPr>
          <w:rFonts w:eastAsia="Times New Roman"/>
          <w:szCs w:val="24"/>
          <w:u w:val="single"/>
        </w:rPr>
        <w:t>An expenditure from these accounts must be made in accordance with the established procurement procedures of the jurisdiction where the account is established.</w:t>
      </w:r>
      <w:r>
        <w:rPr>
          <w:rFonts w:eastAsia="Times New Roman"/>
          <w:szCs w:val="24"/>
        </w:rPr>
        <w:t xml:space="preserve">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(10)</w:t>
      </w:r>
      <w:r>
        <w:rPr>
          <w:rFonts w:eastAsia="Times New Roman"/>
          <w:szCs w:val="24"/>
        </w:rPr>
        <w:tab/>
      </w:r>
      <w:r>
        <w:rPr>
          <w:rFonts w:eastAsia="Times New Roman"/>
          <w:szCs w:val="24"/>
          <w:u w:val="single"/>
        </w:rPr>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All records of disbursement must be maintained and made available for audit purposes as provided in this section.  All expenditures from these accounts must be fully documented and audited annually with the general fund of the appropriate jurisdiction. </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(11)</w:t>
      </w:r>
      <w:r>
        <w:rPr>
          <w:rFonts w:eastAsia="Times New Roman"/>
          <w:szCs w:val="24"/>
        </w:rPr>
        <w:tab/>
      </w:r>
      <w:r>
        <w:rPr>
          <w:rFonts w:eastAsia="Times New Roman"/>
          <w:szCs w:val="24"/>
          <w:u w:val="single"/>
        </w:rPr>
        <w:t>In all cases where the criminal offense giving rise to the forfeiture of property described in subsection (B) is prosecuted in a state court, the forfeiture proceeding must be accomplished in the court of common pleas for the jurisdiction where the items were seized.</w:t>
      </w:r>
      <w:r>
        <w:rPr>
          <w:rFonts w:eastAsia="Times New Roman"/>
          <w:szCs w:val="24"/>
        </w:rPr>
        <w:t>”</w:t>
      </w:r>
    </w:p>
    <w:p w:rsidR="00A347F2" w:rsidRDefault="00A34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347F2" w:rsidRDefault="00A6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47F2" w:rsidRDefault="00A347F2">
      <w:pPr>
        <w:suppressAutoHyphens/>
        <w:jc w:val="both"/>
        <w:rPr>
          <w:rFonts w:eastAsia="Times New Roman"/>
        </w:rPr>
      </w:pPr>
    </w:p>
    <w:sectPr w:rsidR="00A347F2" w:rsidSect="00A347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7F2" w:rsidRDefault="00A62923">
      <w:r>
        <w:separator/>
      </w:r>
    </w:p>
  </w:endnote>
  <w:endnote w:type="continuationSeparator" w:id="0">
    <w:p w:rsidR="00A347F2" w:rsidRDefault="00A6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5361BA-2623-43C2-A239-F5AF386D1155}"/>
    <w:embedBold r:id="rId2" w:fontKey="{9FB26E33-38C5-4606-8A38-73B25B7047D1}"/>
  </w:font>
  <w:font w:name="Calibri">
    <w:panose1 w:val="020F0502020204030204"/>
    <w:charset w:val="00"/>
    <w:family w:val="swiss"/>
    <w:pitch w:val="variable"/>
    <w:sig w:usb0="E10002FF" w:usb1="4000ACFF" w:usb2="00000009" w:usb3="00000000" w:csb0="0000019F" w:csb1="00000000"/>
    <w:embedRegular r:id="rId3" w:fontKey="{B2ECE89B-0F30-40F3-A80D-ACDB00BA14F7}"/>
    <w:embedBold r:id="rId4" w:fontKey="{C212EDF5-AF48-49C7-A34C-78A4AEE57D78}"/>
  </w:font>
  <w:font w:name="Cambria">
    <w:panose1 w:val="02040503050406030204"/>
    <w:charset w:val="00"/>
    <w:family w:val="roman"/>
    <w:pitch w:val="variable"/>
    <w:sig w:usb0="E00002FF" w:usb1="400004FF" w:usb2="00000000" w:usb3="00000000" w:csb0="0000019F" w:csb1="00000000"/>
    <w:embedRegular r:id="rId5" w:fontKey="{96B7F37A-798D-4B8A-B630-848E72604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7F2" w:rsidRDefault="00A62923">
    <w:pPr>
      <w:pStyle w:val="Footer"/>
      <w:tabs>
        <w:tab w:val="clear" w:pos="4680"/>
        <w:tab w:val="clear" w:pos="9360"/>
        <w:tab w:val="center" w:pos="2995"/>
      </w:tabs>
      <w:spacing w:before="120"/>
    </w:pPr>
    <w:r>
      <w:t>[436]</w:t>
    </w:r>
    <w:r>
      <w:tab/>
    </w:r>
    <w:r w:rsidR="005205BA">
      <w:fldChar w:fldCharType="begin"/>
    </w:r>
    <w:r w:rsidR="005205BA">
      <w:instrText xml:space="preserve"> PAGE  \* MERGEFORMAT </w:instrText>
    </w:r>
    <w:r w:rsidR="005205BA">
      <w:fldChar w:fldCharType="separate"/>
    </w:r>
    <w:r w:rsidR="005205BA">
      <w:rPr>
        <w:noProof/>
      </w:rPr>
      <w:t>1</w:t>
    </w:r>
    <w:r w:rsidR="005205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7F2" w:rsidRDefault="00A62923">
      <w:r>
        <w:separator/>
      </w:r>
    </w:p>
  </w:footnote>
  <w:footnote w:type="continuationSeparator" w:id="0">
    <w:p w:rsidR="00A347F2" w:rsidRDefault="00A629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5PROS.KMM.LB"/>
    <w:docVar w:name="CoverAttorneyInitials" w:val="KMM"/>
    <w:docVar w:name="CoverAttorneyLastName" w:val="Moffitt"/>
    <w:docVar w:name="CoverBillType" w:val="b"/>
    <w:docVar w:name="CoverSenator" w:val="LB"/>
    <w:docVar w:name="dvBillNumber" w:val="436"/>
    <w:docVar w:name="dvBillNumberPrefix" w:val="S. "/>
    <w:docVar w:name="dvOriginalBody" w:val="Senate"/>
    <w:docVar w:name="fulldraftpath" w:val="L:\S-RES\LB\005PROS.KMM.LB.DOCX"/>
    <w:docVar w:name="NameofBody" w:val="S"/>
    <w:docVar w:name="vgroup2" w:val="S-RES"/>
  </w:docVars>
  <w:rsids>
    <w:rsidRoot w:val="00A347F2"/>
    <w:rsid w:val="00222E31"/>
    <w:rsid w:val="0031116A"/>
    <w:rsid w:val="005205BA"/>
    <w:rsid w:val="00744372"/>
    <w:rsid w:val="008C4B47"/>
    <w:rsid w:val="00A347F2"/>
    <w:rsid w:val="00A62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6AE2666-4E61-4594-94D8-6E35CEE2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7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347F2"/>
    <w:pPr>
      <w:tabs>
        <w:tab w:val="center" w:pos="4680"/>
        <w:tab w:val="right" w:pos="9360"/>
      </w:tabs>
    </w:pPr>
  </w:style>
  <w:style w:type="character" w:customStyle="1" w:styleId="FooterChar">
    <w:name w:val="Footer Char"/>
    <w:basedOn w:val="DefaultParagraphFont"/>
    <w:link w:val="Footer"/>
    <w:uiPriority w:val="99"/>
    <w:semiHidden/>
    <w:rsid w:val="00A347F2"/>
  </w:style>
  <w:style w:type="character" w:styleId="PageNumber">
    <w:name w:val="page number"/>
    <w:basedOn w:val="DefaultParagraphFont"/>
    <w:uiPriority w:val="99"/>
    <w:semiHidden/>
    <w:unhideWhenUsed/>
    <w:rsid w:val="00A347F2"/>
  </w:style>
  <w:style w:type="character" w:styleId="LineNumber">
    <w:name w:val="line number"/>
    <w:basedOn w:val="DefaultParagraphFont"/>
    <w:uiPriority w:val="99"/>
    <w:semiHidden/>
    <w:unhideWhenUsed/>
    <w:rsid w:val="00A347F2"/>
  </w:style>
  <w:style w:type="paragraph" w:styleId="Header">
    <w:name w:val="header"/>
    <w:basedOn w:val="Normal"/>
    <w:link w:val="HeaderChar"/>
    <w:uiPriority w:val="99"/>
    <w:semiHidden/>
    <w:unhideWhenUsed/>
    <w:rsid w:val="00A347F2"/>
    <w:pPr>
      <w:tabs>
        <w:tab w:val="center" w:pos="4680"/>
        <w:tab w:val="right" w:pos="9360"/>
      </w:tabs>
    </w:pPr>
  </w:style>
  <w:style w:type="character" w:customStyle="1" w:styleId="HeaderChar">
    <w:name w:val="Header Char"/>
    <w:basedOn w:val="DefaultParagraphFont"/>
    <w:link w:val="Header"/>
    <w:uiPriority w:val="99"/>
    <w:semiHidden/>
    <w:rsid w:val="00A347F2"/>
  </w:style>
  <w:style w:type="paragraph" w:customStyle="1" w:styleId="BillDots">
    <w:name w:val="BillDots"/>
    <w:basedOn w:val="Normal"/>
    <w:qFormat/>
    <w:rsid w:val="00A347F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347F2"/>
    <w:pPr>
      <w:tabs>
        <w:tab w:val="right" w:pos="5904"/>
      </w:tabs>
    </w:pPr>
  </w:style>
  <w:style w:type="character" w:styleId="Hyperlink">
    <w:name w:val="Hyperlink"/>
    <w:basedOn w:val="DefaultParagraphFont"/>
    <w:uiPriority w:val="99"/>
    <w:unhideWhenUsed/>
    <w:rsid w:val="00A34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6_20090218.docx" TargetMode="External"/><Relationship Id="rId3" Type="http://schemas.openxmlformats.org/officeDocument/2006/relationships/webSettings" Target="webSettings.xml"/><Relationship Id="rId7" Type="http://schemas.openxmlformats.org/officeDocument/2006/relationships/hyperlink" Target="file:///h:\SJ%20Archive\2009\02-1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2576</Words>
  <Characters>13393</Characters>
  <Application>Microsoft Office Word</Application>
  <DocSecurity>0</DocSecurity>
  <Lines>322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 Prostitution - South Carolina Legislature Online</dc:title>
  <dc:subject/>
  <dc:creator>Kenneth Moffitt</dc:creator>
  <cp:keywords/>
  <dc:description/>
  <cp:lastModifiedBy>N Cumfer</cp:lastModifiedBy>
  <cp:revision>9</cp:revision>
  <cp:lastPrinted>2009-02-11T14:54:00Z</cp:lastPrinted>
  <dcterms:created xsi:type="dcterms:W3CDTF">2009-02-18T19:30:00Z</dcterms:created>
  <dcterms:modified xsi:type="dcterms:W3CDTF">2014-11-24T14:59:00Z</dcterms:modified>
</cp:coreProperties>
</file>