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ED1" w:rsidRDefault="000E3D81">
      <w:pPr>
        <w:widowControl w:val="0"/>
        <w:jc w:val="center"/>
      </w:pPr>
      <w:bookmarkStart w:id="0" w:name="_GoBack"/>
      <w:bookmarkEnd w:id="0"/>
      <w:r>
        <w:rPr>
          <w:b/>
        </w:rPr>
        <w:t>South Carolina General Assembly</w:t>
      </w:r>
    </w:p>
    <w:p w:rsidR="00ED3ED1" w:rsidRDefault="000E3D81">
      <w:pPr>
        <w:widowControl w:val="0"/>
        <w:jc w:val="center"/>
      </w:pPr>
      <w:r>
        <w:t>118th Session, 2009-2010</w:t>
      </w:r>
    </w:p>
    <w:p w:rsidR="00ED3ED1" w:rsidRDefault="00ED3ED1">
      <w:pPr>
        <w:widowControl w:val="0"/>
        <w:jc w:val="left"/>
      </w:pPr>
    </w:p>
    <w:p w:rsidR="00ED3ED1" w:rsidRDefault="000E3D81">
      <w:pPr>
        <w:widowControl w:val="0"/>
        <w:jc w:val="left"/>
        <w:rPr>
          <w:b/>
        </w:rPr>
      </w:pPr>
      <w:r>
        <w:rPr>
          <w:b/>
        </w:rPr>
        <w:t>S. 719</w:t>
      </w:r>
    </w:p>
    <w:p w:rsidR="00ED3ED1" w:rsidRDefault="00ED3ED1">
      <w:pPr>
        <w:widowControl w:val="0"/>
        <w:jc w:val="left"/>
        <w:rPr>
          <w:b/>
        </w:rPr>
      </w:pPr>
    </w:p>
    <w:p w:rsidR="00ED3ED1" w:rsidRDefault="000E3D81">
      <w:pPr>
        <w:widowControl w:val="0"/>
        <w:jc w:val="left"/>
      </w:pPr>
      <w:r>
        <w:rPr>
          <w:b/>
        </w:rPr>
        <w:t>STATUS INFORMATION</w:t>
      </w:r>
    </w:p>
    <w:p w:rsidR="00ED3ED1" w:rsidRDefault="00ED3ED1">
      <w:pPr>
        <w:widowControl w:val="0"/>
        <w:jc w:val="left"/>
      </w:pPr>
    </w:p>
    <w:p w:rsidR="00ED3ED1" w:rsidRDefault="000E3D81">
      <w:pPr>
        <w:widowControl w:val="0"/>
        <w:jc w:val="left"/>
      </w:pPr>
      <w:r>
        <w:t>General Bill</w:t>
      </w:r>
    </w:p>
    <w:p w:rsidR="00ED3ED1" w:rsidRDefault="000E3D81">
      <w:pPr>
        <w:widowControl w:val="0"/>
        <w:jc w:val="left"/>
      </w:pPr>
      <w:r>
        <w:t>Sponsors: Senators McConnell, Ford, Leventis and Alexander</w:t>
      </w:r>
    </w:p>
    <w:p w:rsidR="00ED3ED1" w:rsidRDefault="000E3D81">
      <w:pPr>
        <w:widowControl w:val="0"/>
        <w:jc w:val="left"/>
      </w:pPr>
      <w:r>
        <w:t>Document Path: l:\council\bills\bbm\9344ac09.docx</w:t>
      </w:r>
    </w:p>
    <w:p w:rsidR="00ED3ED1" w:rsidRDefault="000E3D81">
      <w:pPr>
        <w:widowControl w:val="0"/>
        <w:jc w:val="left"/>
      </w:pPr>
      <w:r>
        <w:t>Companion/Similar bill(s): 3550</w:t>
      </w:r>
    </w:p>
    <w:p w:rsidR="00ED3ED1" w:rsidRDefault="00ED3ED1">
      <w:pPr>
        <w:widowControl w:val="0"/>
        <w:jc w:val="left"/>
      </w:pPr>
    </w:p>
    <w:p w:rsidR="00ED3ED1" w:rsidRDefault="000E3D81">
      <w:pPr>
        <w:widowControl w:val="0"/>
        <w:jc w:val="left"/>
      </w:pPr>
      <w:r>
        <w:t>Introduced in the Senate on April 15, 2009</w:t>
      </w:r>
    </w:p>
    <w:p w:rsidR="00ED3ED1" w:rsidRDefault="000E3D81">
      <w:pPr>
        <w:widowControl w:val="0"/>
        <w:jc w:val="left"/>
      </w:pPr>
      <w:r>
        <w:t xml:space="preserve">Currently residing in the Senate Committee on </w:t>
      </w:r>
      <w:r>
        <w:rPr>
          <w:b/>
        </w:rPr>
        <w:t>Labor, Commerce and Industry</w:t>
      </w:r>
    </w:p>
    <w:p w:rsidR="00ED3ED1" w:rsidRDefault="00ED3ED1">
      <w:pPr>
        <w:widowControl w:val="0"/>
        <w:jc w:val="left"/>
      </w:pPr>
    </w:p>
    <w:p w:rsidR="00ED3ED1" w:rsidRDefault="000E3D81">
      <w:pPr>
        <w:widowControl w:val="0"/>
        <w:jc w:val="left"/>
      </w:pPr>
      <w:r>
        <w:t>Summary: Energy Standard Act</w:t>
      </w:r>
    </w:p>
    <w:p w:rsidR="00ED3ED1" w:rsidRDefault="00ED3ED1">
      <w:pPr>
        <w:widowControl w:val="0"/>
        <w:jc w:val="left"/>
      </w:pPr>
    </w:p>
    <w:p w:rsidR="00ED3ED1" w:rsidRDefault="00ED3ED1">
      <w:pPr>
        <w:widowControl w:val="0"/>
        <w:jc w:val="left"/>
      </w:pPr>
    </w:p>
    <w:p w:rsidR="00ED3ED1" w:rsidRDefault="000E3D81">
      <w:pPr>
        <w:widowControl w:val="0"/>
        <w:tabs>
          <w:tab w:val="center" w:pos="590"/>
          <w:tab w:val="center" w:pos="1440"/>
          <w:tab w:val="left" w:pos="1872"/>
          <w:tab w:val="left" w:pos="9187"/>
        </w:tabs>
        <w:jc w:val="left"/>
      </w:pPr>
      <w:r>
        <w:rPr>
          <w:b/>
        </w:rPr>
        <w:t>HISTORY OF LEGISLATIVE ACTIONS</w:t>
      </w:r>
    </w:p>
    <w:p w:rsidR="00ED3ED1" w:rsidRDefault="00ED3ED1">
      <w:pPr>
        <w:widowControl w:val="0"/>
        <w:tabs>
          <w:tab w:val="center" w:pos="590"/>
          <w:tab w:val="center" w:pos="1440"/>
          <w:tab w:val="left" w:pos="1872"/>
          <w:tab w:val="left" w:pos="9187"/>
        </w:tabs>
        <w:jc w:val="left"/>
      </w:pPr>
    </w:p>
    <w:p w:rsidR="00ED3ED1" w:rsidRDefault="000E3D8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D3ED1" w:rsidRDefault="000E3D81">
      <w:pPr>
        <w:widowControl w:val="0"/>
        <w:tabs>
          <w:tab w:val="right" w:pos="1008"/>
          <w:tab w:val="left" w:pos="1152"/>
          <w:tab w:val="left" w:pos="1872"/>
          <w:tab w:val="left" w:pos="9187"/>
        </w:tabs>
        <w:ind w:left="2088" w:hanging="2088"/>
        <w:jc w:val="left"/>
      </w:pPr>
      <w:r>
        <w:tab/>
        <w:t>4/15/2009</w:t>
      </w:r>
      <w:r>
        <w:tab/>
        <w:t>Senate</w:t>
      </w:r>
      <w:r>
        <w:tab/>
        <w:t xml:space="preserve">Introduced and read first time </w:t>
      </w:r>
      <w:hyperlink r:id="rId7" w:history="1">
        <w:r w:rsidRPr="00862F8B">
          <w:rPr>
            <w:rStyle w:val="Hyperlink"/>
          </w:rPr>
          <w:t>SJ</w:t>
        </w:r>
      </w:hyperlink>
      <w:r>
        <w:noBreakHyphen/>
        <w:t>6</w:t>
      </w:r>
    </w:p>
    <w:p w:rsidR="00ED3ED1" w:rsidRDefault="000E3D81">
      <w:pPr>
        <w:widowControl w:val="0"/>
        <w:tabs>
          <w:tab w:val="right" w:pos="1008"/>
          <w:tab w:val="left" w:pos="1152"/>
          <w:tab w:val="left" w:pos="1872"/>
          <w:tab w:val="left" w:pos="9187"/>
        </w:tabs>
        <w:ind w:left="2088" w:hanging="2088"/>
        <w:jc w:val="left"/>
      </w:pPr>
      <w:r>
        <w:tab/>
        <w:t>4/15/2009</w:t>
      </w:r>
      <w:r>
        <w:tab/>
        <w:t>Senate</w:t>
      </w:r>
      <w:r>
        <w:tab/>
        <w:t xml:space="preserve">Referred to Committee on </w:t>
      </w:r>
      <w:r>
        <w:rPr>
          <w:b/>
        </w:rPr>
        <w:t>Labor, Commerce and Industry</w:t>
      </w:r>
      <w:r>
        <w:t xml:space="preserve"> </w:t>
      </w:r>
      <w:hyperlink r:id="rId8" w:history="1">
        <w:r w:rsidRPr="00862F8B">
          <w:rPr>
            <w:rStyle w:val="Hyperlink"/>
          </w:rPr>
          <w:t>SJ</w:t>
        </w:r>
      </w:hyperlink>
      <w:r>
        <w:noBreakHyphen/>
        <w:t>6</w:t>
      </w:r>
    </w:p>
    <w:p w:rsidR="00ED3ED1" w:rsidRDefault="00ED3ED1">
      <w:pPr>
        <w:widowControl w:val="0"/>
        <w:tabs>
          <w:tab w:val="right" w:pos="1008"/>
          <w:tab w:val="left" w:pos="1152"/>
          <w:tab w:val="left" w:pos="1872"/>
          <w:tab w:val="left" w:pos="9187"/>
        </w:tabs>
        <w:ind w:left="2088" w:hanging="2088"/>
        <w:jc w:val="left"/>
      </w:pPr>
    </w:p>
    <w:p w:rsidR="00ED3ED1" w:rsidRDefault="00ED3ED1">
      <w:pPr>
        <w:widowControl w:val="0"/>
        <w:tabs>
          <w:tab w:val="right" w:pos="1008"/>
          <w:tab w:val="left" w:pos="1152"/>
          <w:tab w:val="left" w:pos="1872"/>
          <w:tab w:val="left" w:pos="9187"/>
        </w:tabs>
        <w:ind w:left="2088" w:hanging="2088"/>
        <w:jc w:val="left"/>
      </w:pPr>
    </w:p>
    <w:p w:rsidR="00ED3ED1" w:rsidRDefault="000E3D81">
      <w:pPr>
        <w:widowControl w:val="0"/>
        <w:jc w:val="left"/>
      </w:pPr>
      <w:r>
        <w:rPr>
          <w:b/>
        </w:rPr>
        <w:t>VERSIONS OF THIS BILL</w:t>
      </w:r>
    </w:p>
    <w:p w:rsidR="00ED3ED1" w:rsidRDefault="00ED3ED1">
      <w:pPr>
        <w:widowControl w:val="0"/>
        <w:jc w:val="left"/>
      </w:pPr>
    </w:p>
    <w:p w:rsidR="00ED3ED1" w:rsidRDefault="001C350B">
      <w:pPr>
        <w:widowControl w:val="0"/>
        <w:jc w:val="left"/>
      </w:pPr>
      <w:hyperlink r:id="rId9" w:history="1">
        <w:r w:rsidR="000E3D81">
          <w:rPr>
            <w:rStyle w:val="Hyperlink"/>
          </w:rPr>
          <w:t>4/15/2009</w:t>
        </w:r>
      </w:hyperlink>
    </w:p>
    <w:p w:rsidR="00ED3ED1" w:rsidRDefault="00ED3ED1"/>
    <w:p w:rsidR="00ED3ED1" w:rsidRDefault="00ED3ED1">
      <w:pPr>
        <w:sectPr w:rsidR="00ED3ED1">
          <w:pgSz w:w="12240" w:h="15840" w:code="1"/>
          <w:pgMar w:top="1080" w:right="1440" w:bottom="1080" w:left="1440" w:header="720" w:footer="720" w:gutter="0"/>
          <w:cols w:space="720"/>
          <w:noEndnote/>
          <w:docGrid w:linePitch="360"/>
        </w:sectPr>
      </w:pPr>
    </w:p>
    <w:p w:rsidR="00ED3ED1" w:rsidRDefault="00ED3ED1">
      <w:pPr>
        <w:pStyle w:val="BillDot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10, TITLE 6, CODE OF LAWS OF SOUTH CAROLINA, 1976, RELATING TO THE BUILDING ENERGY EFFICIENCY STANDARD ACT, SO AS TO REVISE THE TITLE OF THE ACT TO THE “ENERGY STANDARD ACT”; TO EXEMPT ALREADY PERMITTED PROJECTS FROM COMPLIANCE WITH THIS ACT; TO REVISE DEFINITIONS; TO ADOPT THE 2006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THE BUILDING OFFICIAL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w:t>
      </w:r>
      <w:r>
        <w:lastRenderedPageBreak/>
        <w:t>CONTAINING CODES ADOPTED BY THE BUILDING CODES COUNCIL, AND BUILDING PERMITS FOR THREE STORY HOMES.</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The provisions of this act do not apply to projects which have received the proper permits as required by law before the effective date of this act.</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10, Title 6 of the 1976 Code is amended to read:</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requirements applicable to the construction, alteration, repair and occupancy of buildings.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month period, alterations or repairs costing in excess of fifty percent of the then physical value of the building are made to an existing building.</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30.</w:t>
      </w:r>
      <w:r>
        <w:rPr>
          <w:szCs w:val="24"/>
        </w:rPr>
        <w:tab/>
      </w:r>
      <w:r>
        <w:rPr>
          <w:strike/>
          <w:szCs w:val="24"/>
        </w:rPr>
        <w:t>(a)</w:t>
      </w:r>
      <w:r>
        <w:rPr>
          <w:szCs w:val="24"/>
        </w:rPr>
        <w:tab/>
        <w:t xml:space="preserve">The </w:t>
      </w:r>
      <w:r>
        <w:rPr>
          <w:strike/>
          <w:szCs w:val="24"/>
        </w:rPr>
        <w:t>current</w:t>
      </w:r>
      <w:r>
        <w:rPr>
          <w:szCs w:val="24"/>
        </w:rPr>
        <w:t xml:space="preserve"> </w:t>
      </w:r>
      <w:r>
        <w:rPr>
          <w:szCs w:val="24"/>
          <w:u w:val="single"/>
        </w:rPr>
        <w:t>2006</w:t>
      </w:r>
      <w:r>
        <w:rPr>
          <w:szCs w:val="24"/>
        </w:rPr>
        <w:t xml:space="preserve"> edition of </w:t>
      </w:r>
      <w:r>
        <w:rPr>
          <w:strike/>
          <w:szCs w:val="24"/>
        </w:rPr>
        <w:t>Appendix J (Code for Energy Conservation in new building construction) to the Standard Building Code of the Southern Building Code Congress International, Incorporated,</w:t>
      </w:r>
      <w:r>
        <w:rPr>
          <w:szCs w:val="24"/>
        </w:rPr>
        <w:t xml:space="preserve"> </w:t>
      </w:r>
      <w:r>
        <w:rPr>
          <w:szCs w:val="24"/>
          <w:u w:val="single"/>
        </w:rPr>
        <w:t>the International Energy Conservation Code</w:t>
      </w:r>
      <w:r>
        <w:rPr>
          <w:szCs w:val="24"/>
        </w:rPr>
        <w:t xml:space="preserve"> is </w:t>
      </w:r>
      <w:r>
        <w:rPr>
          <w:strike/>
          <w:szCs w:val="24"/>
        </w:rPr>
        <w:t>hereby</w:t>
      </w:r>
      <w:r>
        <w:rPr>
          <w:szCs w:val="24"/>
        </w:rPr>
        <w:t xml:space="preserve"> adopted as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unless otherwise provided for in this chapter</w:t>
      </w:r>
      <w:r>
        <w:rPr>
          <w:szCs w:val="24"/>
        </w:rPr>
        <w:t xml:space="preserve">.  All new and renovated buildings and additions constructed </w:t>
      </w:r>
      <w:r>
        <w:rPr>
          <w:strike/>
          <w:szCs w:val="24"/>
        </w:rPr>
        <w:t>one hundred and twenty days after the effective date of this chapter</w:t>
      </w:r>
      <w:r>
        <w:rPr>
          <w:szCs w:val="24"/>
        </w:rPr>
        <w:t xml:space="preserve"> within the State </w:t>
      </w:r>
      <w:r>
        <w:rPr>
          <w:strike/>
          <w:szCs w:val="24"/>
        </w:rPr>
        <w:t>shall</w:t>
      </w:r>
      <w:r>
        <w:rPr>
          <w:szCs w:val="24"/>
        </w:rPr>
        <w:t xml:space="preserve"> </w:t>
      </w:r>
      <w:r>
        <w:rPr>
          <w:szCs w:val="24"/>
          <w:u w:val="single"/>
        </w:rPr>
        <w:t>must</w:t>
      </w:r>
      <w:r>
        <w:rPr>
          <w:szCs w:val="24"/>
        </w:rPr>
        <w:t xml:space="preserve"> comply with this standard.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(b)</w:t>
      </w:r>
      <w:r>
        <w:rPr>
          <w:szCs w:val="24"/>
        </w:rPr>
        <w:tab/>
      </w:r>
      <w:r>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Pr>
          <w:strike/>
          <w:szCs w:val="24"/>
        </w:rPr>
        <w:noBreakHyphen/>
        <w:t xml:space="preserve">value) must be: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R</w:t>
      </w:r>
      <w:r>
        <w:rPr>
          <w:strike/>
          <w:szCs w:val="24"/>
        </w:rPr>
        <w:noBreakHyphen/>
        <w:t>30 for ceilings, except for ceiling/roof combinations, which must be R</w:t>
      </w:r>
      <w:r>
        <w:rPr>
          <w:strike/>
          <w:szCs w:val="24"/>
        </w:rPr>
        <w:noBreakHyphen/>
        <w:t xml:space="preserve">19;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R</w:t>
      </w:r>
      <w:r>
        <w:rPr>
          <w:strike/>
          <w:szCs w:val="24"/>
        </w:rPr>
        <w:noBreakHyphen/>
        <w:t xml:space="preserve">13 for exterior walls;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(3)</w:t>
      </w:r>
      <w:r>
        <w:rPr>
          <w:szCs w:val="24"/>
        </w:rPr>
        <w:tab/>
      </w:r>
      <w:r>
        <w:rPr>
          <w:strike/>
          <w:szCs w:val="24"/>
        </w:rPr>
        <w:t>R</w:t>
      </w:r>
      <w:r>
        <w:rPr>
          <w:strike/>
          <w:szCs w:val="24"/>
        </w:rPr>
        <w:noBreakHyphen/>
        <w:t xml:space="preserve">19 for floors with crawl space;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(4)</w:t>
      </w:r>
      <w:r>
        <w:rPr>
          <w:szCs w:val="24"/>
        </w:rPr>
        <w:tab/>
      </w:r>
      <w:r>
        <w:rPr>
          <w:strike/>
          <w:szCs w:val="24"/>
        </w:rPr>
        <w:t>R</w:t>
      </w:r>
      <w:r>
        <w:rPr>
          <w:strike/>
          <w:szCs w:val="24"/>
        </w:rPr>
        <w:noBreakHyphen/>
        <w:t>6, or the installed equivalent, for heating and air conditioning duct</w:t>
      </w:r>
      <w:r>
        <w:rPr>
          <w:strike/>
          <w:szCs w:val="24"/>
        </w:rPr>
        <w:noBreakHyphen/>
        <w:t xml:space="preserve">work not located in conditioned space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trike/>
          <w:szCs w:val="24"/>
        </w:rPr>
        <w:t xml:space="preserve">Nothing in this subsection may be construed to inhibit utilization of higher minimum thermal ratings.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To facilitate the affordability of purchases of housing, minimum thermal resistance ratings of R</w:t>
      </w:r>
      <w:r>
        <w:rPr>
          <w:strike/>
          <w:szCs w:val="24"/>
        </w:rPr>
        <w:noBreakHyphen/>
        <w:t>19 for ceilings and R</w:t>
      </w:r>
      <w:r>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r>
        <w:rPr>
          <w:szCs w:val="24"/>
        </w:rPr>
        <w:t xml:space="preserve">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and the South Carolina Building Energy 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Until the boards are established, appeals must be heard by the South Carolina Building Codes Council.  A local jurisdiction must be relieved of the duty to appoint local appeals boards if it is established to the satisfaction of the council that qualified people cannot be found in the jurisdiction or through cooperation with neighboring jurisdictions.  Two or more local jurisdictions may establish a building board of appeals to serve their jurisdictions.</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80.</w:t>
      </w:r>
      <w:r>
        <w:rPr>
          <w:szCs w:val="24"/>
        </w:rPr>
        <w:tab/>
      </w:r>
      <w:r>
        <w:rPr>
          <w:strike/>
          <w:szCs w:val="24"/>
        </w:rPr>
        <w:t>Any local enforcement agency or the Council</w:t>
      </w:r>
      <w:r>
        <w:rPr>
          <w:szCs w:val="24"/>
        </w:rPr>
        <w:t xml:space="preserve"> </w:t>
      </w:r>
      <w:r>
        <w:rPr>
          <w:szCs w:val="24"/>
          <w:u w:val="single"/>
        </w:rPr>
        <w:t>The building official</w:t>
      </w:r>
      <w:r>
        <w:rPr>
          <w:szCs w:val="24"/>
        </w:rPr>
        <w:t xml:space="preserve"> may obtain injunctive relief from </w:t>
      </w:r>
      <w:r>
        <w:rPr>
          <w:strike/>
          <w:szCs w:val="24"/>
        </w:rPr>
        <w:t>any</w:t>
      </w:r>
      <w:r>
        <w:rPr>
          <w:szCs w:val="24"/>
        </w:rPr>
        <w:t xml:space="preserve"> </w:t>
      </w:r>
      <w:r>
        <w:rPr>
          <w:szCs w:val="24"/>
          <w:u w:val="single"/>
        </w:rPr>
        <w:t>a</w:t>
      </w:r>
      <w:r>
        <w:rPr>
          <w:szCs w:val="24"/>
        </w:rPr>
        <w:t xml:space="preserve"> court of competent jurisdiction to enjoin the offering for sale, delivery, use, occupancy, erection, alteration</w:t>
      </w:r>
      <w:r>
        <w:rPr>
          <w:szCs w:val="24"/>
          <w:u w:val="single"/>
        </w:rPr>
        <w:t>,</w:t>
      </w:r>
      <w:r>
        <w:rPr>
          <w:szCs w:val="24"/>
        </w:rPr>
        <w:t xml:space="preserve"> or installation of </w:t>
      </w:r>
      <w:r>
        <w:rPr>
          <w:strike/>
          <w:szCs w:val="24"/>
        </w:rPr>
        <w:t>any</w:t>
      </w:r>
      <w:r>
        <w:rPr>
          <w:szCs w:val="24"/>
        </w:rPr>
        <w:t xml:space="preserve"> </w:t>
      </w:r>
      <w:r>
        <w:rPr>
          <w:szCs w:val="24"/>
          <w:u w:val="single"/>
        </w:rPr>
        <w:t>a</w:t>
      </w:r>
      <w:r>
        <w:rPr>
          <w:szCs w:val="24"/>
        </w:rPr>
        <w:t xml:space="preserve"> building covered by this chapter, upon an affidavit from </w:t>
      </w:r>
      <w:r>
        <w:rPr>
          <w:strike/>
          <w:szCs w:val="24"/>
        </w:rPr>
        <w:t>such agency</w:t>
      </w:r>
      <w:r>
        <w:rPr>
          <w:szCs w:val="24"/>
        </w:rPr>
        <w:t xml:space="preserve"> </w:t>
      </w:r>
      <w:r>
        <w:rPr>
          <w:szCs w:val="24"/>
          <w:u w:val="single"/>
        </w:rPr>
        <w:t>the building official</w:t>
      </w:r>
      <w:r>
        <w:rPr>
          <w:szCs w:val="24"/>
        </w:rPr>
        <w:t xml:space="preserve"> specifying the manner in which the building does not conform to the requirements of this chapter </w:t>
      </w:r>
      <w:r>
        <w:rPr>
          <w:strike/>
          <w:szCs w:val="24"/>
        </w:rPr>
        <w:t>or the South Carolina Building Energy Efficiency Standard</w:t>
      </w:r>
      <w:r>
        <w:rPr>
          <w:szCs w:val="24"/>
        </w:rPr>
        <w:t xml:space="preserve">. </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 upon conviction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9</w:t>
      </w:r>
      <w:r>
        <w:noBreakHyphen/>
        <w:t>50 of the 1976 Code, as last amended by Act 83 of 2003, is further amended to read:</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if double pane or single pane with storm windows are used for window glass and in the case of ceilings, exterior walls, floors with crawl space, and heating and air conditioning duct work, the determination of the minimum thermal resistance ratings (R</w:t>
      </w:r>
      <w:r>
        <w:rPr>
          <w:strike/>
          <w:szCs w:val="24"/>
        </w:rPr>
        <w:noBreakHyphen/>
        <w:t xml:space="preserve">value) is: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rsidR="00ED3ED1" w:rsidRDefault="00ED3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D3ED1" w:rsidRDefault="000E3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D3ED1" w:rsidRDefault="00ED3ED1">
      <w:pPr>
        <w:suppressAutoHyphens/>
      </w:pPr>
    </w:p>
    <w:sectPr w:rsidR="00ED3ED1" w:rsidSect="00ED3ED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ED1" w:rsidRDefault="000E3D81">
      <w:r>
        <w:separator/>
      </w:r>
    </w:p>
  </w:endnote>
  <w:endnote w:type="continuationSeparator" w:id="0">
    <w:p w:rsidR="00ED3ED1" w:rsidRDefault="000E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B9AA73-C21D-4D23-AB4F-16E0C96D6E37}"/>
    <w:embedBold r:id="rId2" w:fontKey="{45FD5ABC-554D-4420-9784-3E6F422A6432}"/>
  </w:font>
  <w:font w:name="Calibri">
    <w:panose1 w:val="020F0502020204030204"/>
    <w:charset w:val="00"/>
    <w:family w:val="swiss"/>
    <w:pitch w:val="variable"/>
    <w:sig w:usb0="E10002FF" w:usb1="4000ACFF" w:usb2="00000009" w:usb3="00000000" w:csb0="0000019F" w:csb1="00000000"/>
    <w:embedRegular r:id="rId3" w:fontKey="{1FE5FC7D-728F-4186-8E46-0A6E218AF47F}"/>
  </w:font>
  <w:font w:name="Cambria">
    <w:panose1 w:val="02040503050406030204"/>
    <w:charset w:val="00"/>
    <w:family w:val="roman"/>
    <w:pitch w:val="variable"/>
    <w:sig w:usb0="E00002FF" w:usb1="400004FF" w:usb2="00000000" w:usb3="00000000" w:csb0="0000019F" w:csb1="00000000"/>
    <w:embedRegular r:id="rId4" w:fontKey="{0E43ECD4-3A3C-4FD9-B9C2-328ED84EB5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ED1" w:rsidRDefault="000E3D81">
    <w:pPr>
      <w:pStyle w:val="Footer"/>
      <w:tabs>
        <w:tab w:val="clear" w:pos="4680"/>
        <w:tab w:val="clear" w:pos="9360"/>
        <w:tab w:val="center" w:pos="2995"/>
      </w:tabs>
      <w:spacing w:before="120"/>
    </w:pPr>
    <w:r>
      <w:t>[719]</w:t>
    </w:r>
    <w:r>
      <w:tab/>
    </w:r>
    <w:r w:rsidR="001C350B">
      <w:fldChar w:fldCharType="begin"/>
    </w:r>
    <w:r w:rsidR="001C350B">
      <w:instrText xml:space="preserve"> PAGE  \* MERGEFORMAT </w:instrText>
    </w:r>
    <w:r w:rsidR="001C350B">
      <w:fldChar w:fldCharType="separate"/>
    </w:r>
    <w:r w:rsidR="001C350B">
      <w:rPr>
        <w:noProof/>
      </w:rPr>
      <w:t>1</w:t>
    </w:r>
    <w:r w:rsidR="001C350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ED1" w:rsidRDefault="000E3D81">
      <w:r>
        <w:separator/>
      </w:r>
    </w:p>
  </w:footnote>
  <w:footnote w:type="continuationSeparator" w:id="0">
    <w:p w:rsidR="00ED3ED1" w:rsidRDefault="000E3D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344AC09"/>
    <w:docVar w:name="CoverBillType" w:val="b"/>
    <w:docVar w:name="docpath" w:val="L:\Council\bills\BBM\9344AC09.DOCX"/>
    <w:docVar w:name="dvBillNumber" w:val="719"/>
    <w:docVar w:name="dvBillNumberPrefix" w:val="S. "/>
    <w:docVar w:name="dvOriginalBody" w:val="Senate"/>
    <w:docVar w:name="dvSteno" w:val="BBM"/>
    <w:docVar w:name="NameofBody" w:val="s"/>
    <w:docVar w:name="vgroup2" w:val="Council"/>
  </w:docVars>
  <w:rsids>
    <w:rsidRoot w:val="00ED3ED1"/>
    <w:rsid w:val="00072FE0"/>
    <w:rsid w:val="000E3D81"/>
    <w:rsid w:val="001C350B"/>
    <w:rsid w:val="00862F8B"/>
    <w:rsid w:val="008F0B8A"/>
    <w:rsid w:val="00A2291C"/>
    <w:rsid w:val="00ED3E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F08FD9-838D-4EC7-896F-97C51FA71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ED1"/>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D3ED1"/>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ED1"/>
    <w:rPr>
      <w:rFonts w:eastAsia="Times New Roman" w:cs="Times New Roman"/>
      <w:b/>
      <w:sz w:val="30"/>
      <w:szCs w:val="20"/>
    </w:rPr>
  </w:style>
  <w:style w:type="paragraph" w:styleId="Header">
    <w:name w:val="header"/>
    <w:basedOn w:val="Normal"/>
    <w:link w:val="HeaderChar"/>
    <w:uiPriority w:val="99"/>
    <w:semiHidden/>
    <w:unhideWhenUsed/>
    <w:rsid w:val="00ED3ED1"/>
    <w:pPr>
      <w:tabs>
        <w:tab w:val="center" w:pos="4320"/>
        <w:tab w:val="right" w:pos="8640"/>
      </w:tabs>
    </w:pPr>
  </w:style>
  <w:style w:type="character" w:customStyle="1" w:styleId="HeaderChar">
    <w:name w:val="Header Char"/>
    <w:basedOn w:val="DefaultParagraphFont"/>
    <w:link w:val="Header"/>
    <w:uiPriority w:val="99"/>
    <w:semiHidden/>
    <w:rsid w:val="00ED3ED1"/>
    <w:rPr>
      <w:rFonts w:eastAsia="Times New Roman" w:cs="Times New Roman"/>
      <w:szCs w:val="20"/>
    </w:rPr>
  </w:style>
  <w:style w:type="paragraph" w:styleId="Footer">
    <w:name w:val="footer"/>
    <w:basedOn w:val="Normal"/>
    <w:link w:val="FooterChar"/>
    <w:uiPriority w:val="99"/>
    <w:unhideWhenUsed/>
    <w:rsid w:val="00ED3ED1"/>
    <w:pPr>
      <w:tabs>
        <w:tab w:val="center" w:pos="4680"/>
        <w:tab w:val="right" w:pos="9360"/>
      </w:tabs>
    </w:pPr>
  </w:style>
  <w:style w:type="character" w:customStyle="1" w:styleId="FooterChar">
    <w:name w:val="Footer Char"/>
    <w:basedOn w:val="DefaultParagraphFont"/>
    <w:link w:val="Footer"/>
    <w:uiPriority w:val="99"/>
    <w:rsid w:val="00ED3ED1"/>
    <w:rPr>
      <w:rFonts w:eastAsia="Times New Roman" w:cs="Times New Roman"/>
      <w:szCs w:val="20"/>
    </w:rPr>
  </w:style>
  <w:style w:type="character" w:styleId="PageNumber">
    <w:name w:val="page number"/>
    <w:basedOn w:val="DefaultParagraphFont"/>
    <w:uiPriority w:val="99"/>
    <w:semiHidden/>
    <w:unhideWhenUsed/>
    <w:rsid w:val="00ED3ED1"/>
  </w:style>
  <w:style w:type="character" w:styleId="LineNumber">
    <w:name w:val="line number"/>
    <w:basedOn w:val="DefaultParagraphFont"/>
    <w:uiPriority w:val="99"/>
    <w:semiHidden/>
    <w:unhideWhenUsed/>
    <w:rsid w:val="00ED3ED1"/>
  </w:style>
  <w:style w:type="paragraph" w:customStyle="1" w:styleId="BillDots">
    <w:name w:val="BillDots"/>
    <w:basedOn w:val="Normal"/>
    <w:autoRedefine/>
    <w:qFormat/>
    <w:rsid w:val="00ED3ED1"/>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D3ED1"/>
    <w:pPr>
      <w:tabs>
        <w:tab w:val="right" w:pos="5904"/>
      </w:tabs>
    </w:pPr>
  </w:style>
  <w:style w:type="character" w:styleId="Hyperlink">
    <w:name w:val="Hyperlink"/>
    <w:basedOn w:val="DefaultParagraphFont"/>
    <w:uiPriority w:val="99"/>
    <w:unhideWhenUsed/>
    <w:rsid w:val="00ED3E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4-15-09.docx" TargetMode="External"/><Relationship Id="rId3" Type="http://schemas.openxmlformats.org/officeDocument/2006/relationships/settings" Target="settings.xml"/><Relationship Id="rId7" Type="http://schemas.openxmlformats.org/officeDocument/2006/relationships/hyperlink" Target="file:///h:\SJ%20Archive\2009\04-1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719_2009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C34F7-067C-413C-A062-5E9AD1003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3400</Words>
  <Characters>18988</Characters>
  <Application>Microsoft Office Word</Application>
  <DocSecurity>0</DocSecurity>
  <Lines>442</Lines>
  <Paragraphs>90</Paragraphs>
  <ScaleCrop>false</ScaleCrop>
  <Company> </Company>
  <LinksUpToDate>false</LinksUpToDate>
  <CharactersWithSpaces>22472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719: Energy Standard Act - South Carolina Legislature Online</dc:title>
  <dc:subject/>
  <dc:creator>Brenda Melton</dc:creator>
  <cp:keywords/>
  <dc:description/>
  <cp:lastModifiedBy>N Cumfer</cp:lastModifiedBy>
  <cp:revision>11</cp:revision>
  <cp:lastPrinted>2009-04-14T16:21:00Z</cp:lastPrinted>
  <dcterms:created xsi:type="dcterms:W3CDTF">2009-04-15T19:09:00Z</dcterms:created>
  <dcterms:modified xsi:type="dcterms:W3CDTF">2014-11-24T15:04:00Z</dcterms:modified>
</cp:coreProperties>
</file>