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546" w:rsidRDefault="003D3960">
      <w:pPr>
        <w:widowControl w:val="0"/>
        <w:jc w:val="center"/>
        <w:rPr>
          <w:rFonts w:cs="Times New Roman"/>
        </w:rPr>
      </w:pPr>
      <w:bookmarkStart w:id="0" w:name="_GoBack"/>
      <w:bookmarkEnd w:id="0"/>
      <w:r>
        <w:rPr>
          <w:rFonts w:cs="Times New Roman"/>
          <w:b/>
        </w:rPr>
        <w:t>South Carolina General Assembly</w:t>
      </w:r>
    </w:p>
    <w:p w:rsidR="00A15546" w:rsidRDefault="003D3960">
      <w:pPr>
        <w:widowControl w:val="0"/>
        <w:jc w:val="center"/>
        <w:rPr>
          <w:rFonts w:cs="Times New Roman"/>
        </w:rPr>
      </w:pPr>
      <w:r>
        <w:rPr>
          <w:rFonts w:cs="Times New Roman"/>
        </w:rPr>
        <w:t>118th Session, 2009-2010</w:t>
      </w:r>
    </w:p>
    <w:p w:rsidR="00A15546" w:rsidRDefault="00A15546">
      <w:pPr>
        <w:widowControl w:val="0"/>
        <w:jc w:val="left"/>
        <w:rPr>
          <w:rFonts w:cs="Times New Roman"/>
        </w:rPr>
      </w:pPr>
    </w:p>
    <w:p w:rsidR="00A15546" w:rsidRDefault="003D3960">
      <w:pPr>
        <w:widowControl w:val="0"/>
        <w:jc w:val="left"/>
        <w:rPr>
          <w:rFonts w:cs="Times New Roman"/>
          <w:b/>
        </w:rPr>
      </w:pPr>
      <w:r>
        <w:rPr>
          <w:rFonts w:cs="Times New Roman"/>
          <w:b/>
        </w:rPr>
        <w:t>S. 8</w:t>
      </w:r>
    </w:p>
    <w:p w:rsidR="00A15546" w:rsidRDefault="00A15546">
      <w:pPr>
        <w:widowControl w:val="0"/>
        <w:jc w:val="left"/>
        <w:rPr>
          <w:rFonts w:cs="Times New Roman"/>
          <w:b/>
        </w:rPr>
      </w:pPr>
    </w:p>
    <w:p w:rsidR="00A15546" w:rsidRDefault="003D3960">
      <w:pPr>
        <w:widowControl w:val="0"/>
        <w:jc w:val="left"/>
        <w:rPr>
          <w:rFonts w:cs="Times New Roman"/>
        </w:rPr>
      </w:pPr>
      <w:r>
        <w:rPr>
          <w:rFonts w:cs="Times New Roman"/>
          <w:b/>
        </w:rPr>
        <w:t>STATUS INFORMATION</w:t>
      </w:r>
    </w:p>
    <w:p w:rsidR="00A15546" w:rsidRDefault="00A15546">
      <w:pPr>
        <w:widowControl w:val="0"/>
        <w:jc w:val="left"/>
        <w:rPr>
          <w:rFonts w:cs="Times New Roman"/>
        </w:rPr>
      </w:pPr>
    </w:p>
    <w:p w:rsidR="00A15546" w:rsidRDefault="003D3960">
      <w:pPr>
        <w:widowControl w:val="0"/>
        <w:jc w:val="left"/>
        <w:rPr>
          <w:rFonts w:cs="Times New Roman"/>
        </w:rPr>
      </w:pPr>
      <w:r>
        <w:rPr>
          <w:rFonts w:cs="Times New Roman"/>
        </w:rPr>
        <w:t>General Bill</w:t>
      </w:r>
    </w:p>
    <w:p w:rsidR="00A15546" w:rsidRDefault="003D3960">
      <w:pPr>
        <w:widowControl w:val="0"/>
        <w:jc w:val="left"/>
        <w:rPr>
          <w:rFonts w:cs="Times New Roman"/>
        </w:rPr>
      </w:pPr>
      <w:r>
        <w:rPr>
          <w:rFonts w:cs="Times New Roman"/>
        </w:rPr>
        <w:t>Sponsors: Senators McConnell, Rose, Elliott, Massey, Ford and Knotts</w:t>
      </w:r>
    </w:p>
    <w:p w:rsidR="00A15546" w:rsidRDefault="003D3960">
      <w:pPr>
        <w:widowControl w:val="0"/>
        <w:jc w:val="left"/>
        <w:rPr>
          <w:rFonts w:cs="Times New Roman"/>
        </w:rPr>
      </w:pPr>
      <w:r>
        <w:rPr>
          <w:rFonts w:cs="Times New Roman"/>
        </w:rPr>
        <w:t>Document Path: l:\s-jud\bills\mcconnell\jud0012.hla.docx</w:t>
      </w:r>
    </w:p>
    <w:p w:rsidR="00A15546" w:rsidRDefault="003D3960">
      <w:pPr>
        <w:widowControl w:val="0"/>
        <w:jc w:val="left"/>
        <w:rPr>
          <w:rFonts w:cs="Times New Roman"/>
        </w:rPr>
      </w:pPr>
      <w:r>
        <w:rPr>
          <w:rFonts w:cs="Times New Roman"/>
        </w:rPr>
        <w:t>Companion/Similar bill(s): 3441</w:t>
      </w:r>
    </w:p>
    <w:p w:rsidR="00A15546" w:rsidRDefault="00A15546">
      <w:pPr>
        <w:widowControl w:val="0"/>
        <w:jc w:val="left"/>
        <w:rPr>
          <w:rFonts w:cs="Times New Roman"/>
        </w:rPr>
      </w:pPr>
    </w:p>
    <w:p w:rsidR="00A15546" w:rsidRDefault="003D3960">
      <w:pPr>
        <w:widowControl w:val="0"/>
        <w:jc w:val="left"/>
        <w:rPr>
          <w:rFonts w:cs="Times New Roman"/>
        </w:rPr>
      </w:pPr>
      <w:r>
        <w:rPr>
          <w:rFonts w:cs="Times New Roman"/>
        </w:rPr>
        <w:t>Introduced in the Senate on January 13, 2009</w:t>
      </w:r>
    </w:p>
    <w:p w:rsidR="00A15546" w:rsidRDefault="003D3960">
      <w:pPr>
        <w:widowControl w:val="0"/>
        <w:jc w:val="left"/>
        <w:rPr>
          <w:rFonts w:cs="Times New Roman"/>
        </w:rPr>
      </w:pPr>
      <w:r>
        <w:rPr>
          <w:rFonts w:cs="Times New Roman"/>
        </w:rPr>
        <w:t xml:space="preserve">Currently residing in the Senate Committee on </w:t>
      </w:r>
      <w:r>
        <w:rPr>
          <w:rFonts w:cs="Times New Roman"/>
          <w:b/>
        </w:rPr>
        <w:t>Judiciary</w:t>
      </w:r>
    </w:p>
    <w:p w:rsidR="00A15546" w:rsidRDefault="00A15546">
      <w:pPr>
        <w:widowControl w:val="0"/>
        <w:jc w:val="left"/>
        <w:rPr>
          <w:rFonts w:cs="Times New Roman"/>
        </w:rPr>
      </w:pPr>
    </w:p>
    <w:p w:rsidR="00A15546" w:rsidRDefault="003D3960">
      <w:pPr>
        <w:widowControl w:val="0"/>
        <w:jc w:val="left"/>
        <w:rPr>
          <w:rFonts w:cs="Times New Roman"/>
        </w:rPr>
      </w:pPr>
      <w:r>
        <w:rPr>
          <w:rFonts w:cs="Times New Roman"/>
        </w:rPr>
        <w:t>Summary: Office of Regulatory Staff</w:t>
      </w:r>
    </w:p>
    <w:p w:rsidR="00A15546" w:rsidRDefault="00A15546">
      <w:pPr>
        <w:widowControl w:val="0"/>
        <w:jc w:val="left"/>
        <w:rPr>
          <w:rFonts w:cs="Times New Roman"/>
        </w:rPr>
      </w:pPr>
    </w:p>
    <w:p w:rsidR="00A15546" w:rsidRDefault="00A15546">
      <w:pPr>
        <w:widowControl w:val="0"/>
        <w:jc w:val="left"/>
        <w:rPr>
          <w:rFonts w:cs="Times New Roman"/>
        </w:rPr>
      </w:pPr>
    </w:p>
    <w:p w:rsidR="00A15546" w:rsidRDefault="003D3960">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15546" w:rsidRDefault="00A15546">
      <w:pPr>
        <w:widowControl w:val="0"/>
        <w:tabs>
          <w:tab w:val="center" w:pos="590"/>
          <w:tab w:val="center" w:pos="1440"/>
          <w:tab w:val="left" w:pos="1872"/>
          <w:tab w:val="left" w:pos="9187"/>
        </w:tabs>
        <w:jc w:val="left"/>
        <w:rPr>
          <w:rFonts w:cs="Times New Roman"/>
        </w:rPr>
      </w:pPr>
    </w:p>
    <w:p w:rsidR="00A15546" w:rsidRDefault="003D3960">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15546" w:rsidRDefault="003D3960">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A15546" w:rsidRDefault="003D3960">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A15546" w:rsidRDefault="003D396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1D43A8">
          <w:rPr>
            <w:rStyle w:val="Hyperlink"/>
            <w:rFonts w:cs="Times New Roman"/>
          </w:rPr>
          <w:t>SJ</w:t>
        </w:r>
      </w:hyperlink>
      <w:r>
        <w:rPr>
          <w:rFonts w:cs="Times New Roman"/>
        </w:rPr>
        <w:noBreakHyphen/>
        <w:t>75</w:t>
      </w:r>
    </w:p>
    <w:p w:rsidR="00A15546" w:rsidRDefault="003D396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1D43A8">
          <w:rPr>
            <w:rStyle w:val="Hyperlink"/>
            <w:rFonts w:cs="Times New Roman"/>
          </w:rPr>
          <w:t>SJ</w:t>
        </w:r>
      </w:hyperlink>
      <w:r>
        <w:rPr>
          <w:rFonts w:cs="Times New Roman"/>
        </w:rPr>
        <w:noBreakHyphen/>
        <w:t>75</w:t>
      </w:r>
    </w:p>
    <w:p w:rsidR="00A15546" w:rsidRDefault="003D3960">
      <w:pPr>
        <w:widowControl w:val="0"/>
        <w:tabs>
          <w:tab w:val="right" w:pos="1008"/>
          <w:tab w:val="left" w:pos="1152"/>
          <w:tab w:val="left" w:pos="1872"/>
          <w:tab w:val="left" w:pos="9187"/>
        </w:tabs>
        <w:ind w:left="2088" w:hanging="2088"/>
        <w:jc w:val="left"/>
        <w:rPr>
          <w:rFonts w:cs="Times New Roman"/>
        </w:rPr>
      </w:pPr>
      <w:r>
        <w:rPr>
          <w:rFonts w:cs="Times New Roman"/>
        </w:rPr>
        <w:tab/>
        <w:t>2/6/2009</w:t>
      </w:r>
      <w:r>
        <w:rPr>
          <w:rFonts w:cs="Times New Roman"/>
        </w:rPr>
        <w:tab/>
        <w:t>Senate</w:t>
      </w:r>
      <w:r>
        <w:rPr>
          <w:rFonts w:cs="Times New Roman"/>
        </w:rPr>
        <w:tab/>
        <w:t>Referred to Subcommittee: Rankin (ch), Hutto, Campbell</w:t>
      </w:r>
    </w:p>
    <w:p w:rsidR="00A15546" w:rsidRDefault="00A15546">
      <w:pPr>
        <w:widowControl w:val="0"/>
        <w:tabs>
          <w:tab w:val="right" w:pos="1008"/>
          <w:tab w:val="left" w:pos="1152"/>
          <w:tab w:val="left" w:pos="1872"/>
          <w:tab w:val="left" w:pos="9187"/>
        </w:tabs>
        <w:ind w:left="2088" w:hanging="2088"/>
        <w:jc w:val="left"/>
        <w:rPr>
          <w:rFonts w:cs="Times New Roman"/>
        </w:rPr>
      </w:pPr>
    </w:p>
    <w:p w:rsidR="00A15546" w:rsidRDefault="00A15546">
      <w:pPr>
        <w:widowControl w:val="0"/>
        <w:tabs>
          <w:tab w:val="right" w:pos="1008"/>
          <w:tab w:val="left" w:pos="1152"/>
          <w:tab w:val="left" w:pos="1872"/>
          <w:tab w:val="left" w:pos="9187"/>
        </w:tabs>
        <w:ind w:left="2088" w:hanging="2088"/>
        <w:jc w:val="left"/>
        <w:rPr>
          <w:rFonts w:cs="Times New Roman"/>
        </w:rPr>
      </w:pPr>
    </w:p>
    <w:p w:rsidR="00A15546" w:rsidRDefault="003D3960">
      <w:pPr>
        <w:widowControl w:val="0"/>
        <w:jc w:val="left"/>
        <w:rPr>
          <w:rFonts w:cs="Times New Roman"/>
        </w:rPr>
      </w:pPr>
      <w:r>
        <w:rPr>
          <w:rFonts w:cs="Times New Roman"/>
          <w:b/>
        </w:rPr>
        <w:t>VERSIONS OF THIS BILL</w:t>
      </w:r>
    </w:p>
    <w:p w:rsidR="00A15546" w:rsidRDefault="00A15546">
      <w:pPr>
        <w:widowControl w:val="0"/>
        <w:jc w:val="left"/>
        <w:rPr>
          <w:rFonts w:cs="Times New Roman"/>
        </w:rPr>
      </w:pPr>
    </w:p>
    <w:p w:rsidR="00A15546" w:rsidRDefault="00555F44">
      <w:pPr>
        <w:widowControl w:val="0"/>
        <w:jc w:val="left"/>
        <w:rPr>
          <w:rFonts w:cs="Times New Roman"/>
        </w:rPr>
      </w:pPr>
      <w:hyperlink r:id="rId8" w:history="1">
        <w:r w:rsidR="003D3960">
          <w:rPr>
            <w:rStyle w:val="Hyperlink"/>
            <w:rFonts w:cs="Times New Roman"/>
          </w:rPr>
          <w:t>12/10/2008</w:t>
        </w:r>
      </w:hyperlink>
    </w:p>
    <w:p w:rsidR="00A15546" w:rsidRDefault="00A15546"/>
    <w:p w:rsidR="00A15546" w:rsidRDefault="00A15546">
      <w:pPr>
        <w:sectPr w:rsidR="00A15546">
          <w:pgSz w:w="12240" w:h="15840" w:code="1"/>
          <w:pgMar w:top="1080" w:right="1440" w:bottom="1080" w:left="1440" w:header="720" w:footer="720" w:gutter="0"/>
          <w:cols w:space="720"/>
          <w:noEndnote/>
          <w:docGrid w:linePitch="360"/>
        </w:sectPr>
      </w:pP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546" w:rsidRDefault="003D396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b/>
          <w:sz w:val="30"/>
          <w:szCs w:val="20"/>
        </w:rPr>
      </w:pPr>
      <w:bookmarkStart w:id="1" w:name="billhead"/>
      <w:bookmarkEnd w:id="1"/>
      <w:r>
        <w:rPr>
          <w:rFonts w:eastAsia="Times New Roman" w:cs="Times New Roman"/>
          <w:b/>
          <w:sz w:val="30"/>
          <w:szCs w:val="20"/>
        </w:rPr>
        <w:t xml:space="preserve">A </w:t>
      </w:r>
      <w:bookmarkStart w:id="2" w:name="whattype"/>
      <w:bookmarkEnd w:id="2"/>
      <w:r>
        <w:rPr>
          <w:rFonts w:eastAsia="Times New Roman" w:cs="Times New Roman"/>
          <w:b/>
          <w:sz w:val="30"/>
          <w:szCs w:val="20"/>
        </w:rPr>
        <w:t>BILL</w:t>
      </w: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bookmarkStart w:id="3" w:name="titletop"/>
      <w:bookmarkEnd w:id="3"/>
      <w:r>
        <w:rPr>
          <w:rFonts w:cs="Times New Roman"/>
        </w:rPr>
        <w:t>TO AMEND CHAPTER 4, TITLE 58, CODE OF LAWS OF SOUTH CAROLINA, RELATING TO THE OFFICE OF REGULATORY STAFF, BY ADDING SECTION 58</w:t>
      </w:r>
      <w:r>
        <w:rPr>
          <w:rFonts w:cs="Times New Roman"/>
        </w:rPr>
        <w:noBreakHyphen/>
        <w:t>4</w:t>
      </w:r>
      <w:r>
        <w:rPr>
          <w:rFonts w:cs="Times New Roman"/>
        </w:rPr>
        <w:noBreakHyphen/>
        <w:t>140 SO AS TO CREATE A NON</w:t>
      </w:r>
      <w:r>
        <w:rPr>
          <w:rFonts w:cs="Times New Roman"/>
        </w:rPr>
        <w:noBreakHyphen/>
        <w:t xml:space="preserve">PROFIT ENTITY NAMED OPERATION EMPOWERED IN ORDER </w:t>
      </w:r>
      <w:r>
        <w:rPr>
          <w:rFonts w:cs="Times New Roman"/>
          <w:color w:val="000000"/>
        </w:rPr>
        <w:t>TO PROVIDE FINANCIAL ASSISTANCE TO LOW</w:t>
      </w:r>
      <w:r>
        <w:rPr>
          <w:rFonts w:cs="Times New Roman"/>
          <w:color w:val="000000"/>
        </w:rPr>
        <w:noBreakHyphen/>
        <w:t>INCOME HOUSEHOLDS TO IMPLEMENT ENERGY EFFICIENCY AND CONSERVATION MEASURES.</w:t>
      </w: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Whereas, energy efficiency and conservation can bring substantial benefits, both environmental and economic, to this State by reducing the need for the construction of electricity generating facilities and by helping keep South Carolina electricity rates reasonable; and</w:t>
      </w: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Whereas, lower income citizens have a difficult time implementing energy efficiency and conservation measures to reduce their energy consumption because of the expense of such measures; and</w:t>
      </w: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Whereas, it is appropriate for the State to take steps to encourage the formation of a non</w:t>
      </w:r>
      <w:r>
        <w:rPr>
          <w:rFonts w:eastAsia="Times New Roman" w:cs="Times New Roman"/>
          <w:color w:val="000000"/>
          <w:szCs w:val="20"/>
        </w:rPr>
        <w:noBreakHyphen/>
        <w:t>profit, tax</w:t>
      </w:r>
      <w:r>
        <w:rPr>
          <w:rFonts w:eastAsia="Times New Roman" w:cs="Times New Roman"/>
          <w:color w:val="000000"/>
          <w:szCs w:val="20"/>
        </w:rPr>
        <w:noBreakHyphen/>
        <w:t>exempt organization that will be able to receive tax</w:t>
      </w:r>
      <w:r>
        <w:rPr>
          <w:rFonts w:eastAsia="Times New Roman" w:cs="Times New Roman"/>
          <w:color w:val="000000"/>
          <w:szCs w:val="20"/>
        </w:rPr>
        <w:noBreakHyphen/>
        <w:t>deductible contributions and grants for the purpose of assisting low</w:t>
      </w:r>
      <w:r>
        <w:rPr>
          <w:rFonts w:eastAsia="Times New Roman" w:cs="Times New Roman"/>
          <w:color w:val="000000"/>
          <w:szCs w:val="20"/>
        </w:rPr>
        <w:noBreakHyphen/>
        <w:t>income citizens in implementing energy efficiency and conservation measures.  The entity should also be authorized to receive funds from grants and from class action settlements where appropriate; and</w:t>
      </w: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Whereas, the Office of Regulatory Staff currently manages the Lifeline and Link</w:t>
      </w:r>
      <w:r>
        <w:rPr>
          <w:rFonts w:eastAsia="Times New Roman" w:cs="Times New Roman"/>
          <w:color w:val="000000"/>
          <w:szCs w:val="20"/>
        </w:rPr>
        <w:noBreakHyphen/>
        <w:t>up programs, which offer assistance to low</w:t>
      </w:r>
      <w:r>
        <w:rPr>
          <w:rFonts w:eastAsia="Times New Roman" w:cs="Times New Roman"/>
          <w:color w:val="000000"/>
          <w:szCs w:val="20"/>
        </w:rPr>
        <w:noBreakHyphen/>
        <w:t>income citizens for the initial installation of telephone service and maintaining continued telephone service; and</w:t>
      </w: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lastRenderedPageBreak/>
        <w:t>Whereas, the Office of Regulatory Staff could, with a minimum of additional staff or budget, expand its management of the Lifeline and Link</w:t>
      </w:r>
      <w:r>
        <w:rPr>
          <w:rFonts w:eastAsia="Times New Roman" w:cs="Times New Roman"/>
          <w:color w:val="000000"/>
          <w:szCs w:val="20"/>
        </w:rPr>
        <w:noBreakHyphen/>
        <w:t>up programs to include the management of a program to assist low</w:t>
      </w:r>
      <w:r>
        <w:rPr>
          <w:rFonts w:eastAsia="Times New Roman" w:cs="Times New Roman"/>
          <w:color w:val="000000"/>
          <w:szCs w:val="20"/>
        </w:rPr>
        <w:noBreakHyphen/>
        <w:t>income citizens with implementing energy efficiency and conservation measures.  Now, therefore,</w:t>
      </w: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4, Title 58 of the 1976 Code is amended by adding:</w:t>
      </w: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szCs w:val="20"/>
        </w:rPr>
        <w:tab/>
        <w:t>“Section 58</w:t>
      </w:r>
      <w:r>
        <w:rPr>
          <w:rFonts w:eastAsia="Times New Roman" w:cs="Times New Roman"/>
          <w:szCs w:val="20"/>
        </w:rPr>
        <w:noBreakHyphen/>
        <w:t>4</w:t>
      </w:r>
      <w:r>
        <w:rPr>
          <w:rFonts w:eastAsia="Times New Roman" w:cs="Times New Roman"/>
          <w:szCs w:val="20"/>
        </w:rPr>
        <w:noBreakHyphen/>
        <w:t>140.</w:t>
      </w:r>
      <w:r>
        <w:rPr>
          <w:rFonts w:eastAsia="Times New Roman" w:cs="Times New Roman"/>
          <w:szCs w:val="20"/>
        </w:rPr>
        <w:tab/>
        <w:t>(A)</w:t>
      </w:r>
      <w:r>
        <w:rPr>
          <w:rFonts w:eastAsia="Times New Roman" w:cs="Times New Roman"/>
          <w:szCs w:val="20"/>
        </w:rPr>
        <w:tab/>
      </w:r>
      <w:r>
        <w:rPr>
          <w:rFonts w:eastAsia="Times New Roman" w:cs="Times New Roman"/>
          <w:color w:val="000000"/>
          <w:szCs w:val="20"/>
        </w:rPr>
        <w:t>The Office of Regulatory Staff shall form a non</w:t>
      </w:r>
      <w:r>
        <w:rPr>
          <w:rFonts w:eastAsia="Times New Roman" w:cs="Times New Roman"/>
          <w:color w:val="000000"/>
          <w:szCs w:val="20"/>
        </w:rPr>
        <w:noBreakHyphen/>
        <w:t>profit entity named Operation Empowered that will qualify to receive tax deductible contributions to promote energy efficiency and conservation.  The entity shall be formed as a non</w:t>
      </w:r>
      <w:r>
        <w:rPr>
          <w:rFonts w:eastAsia="Times New Roman" w:cs="Times New Roman"/>
          <w:color w:val="000000"/>
          <w:szCs w:val="20"/>
        </w:rPr>
        <w:noBreakHyphen/>
        <w:t>profit corporation pursuant to Section 33</w:t>
      </w:r>
      <w:r>
        <w:rPr>
          <w:rFonts w:eastAsia="Times New Roman" w:cs="Times New Roman"/>
          <w:color w:val="000000"/>
          <w:szCs w:val="20"/>
        </w:rPr>
        <w:noBreakHyphen/>
        <w:t>31</w:t>
      </w:r>
      <w:r>
        <w:rPr>
          <w:rFonts w:eastAsia="Times New Roman" w:cs="Times New Roman"/>
          <w:color w:val="000000"/>
          <w:szCs w:val="20"/>
        </w:rPr>
        <w:noBreakHyphen/>
        <w:t>101, et seq., and shall assist the ORS with programs to provide financial assistance to low</w:t>
      </w:r>
      <w:r>
        <w:rPr>
          <w:rFonts w:eastAsia="Times New Roman" w:cs="Times New Roman"/>
          <w:color w:val="000000"/>
          <w:szCs w:val="20"/>
        </w:rPr>
        <w:noBreakHyphen/>
        <w:t>income citizens to implement energy efficiency and conservation measures.  The State Regulation of Public Utilities Review Committee, as created by Section 58</w:t>
      </w:r>
      <w:r>
        <w:rPr>
          <w:rFonts w:eastAsia="Times New Roman" w:cs="Times New Roman"/>
          <w:color w:val="000000"/>
          <w:szCs w:val="20"/>
        </w:rPr>
        <w:noBreakHyphen/>
        <w:t>3</w:t>
      </w:r>
      <w:r>
        <w:rPr>
          <w:rFonts w:eastAsia="Times New Roman" w:cs="Times New Roman"/>
          <w:color w:val="000000"/>
          <w:szCs w:val="20"/>
        </w:rPr>
        <w:noBreakHyphen/>
        <w:t>510, et seq., shall serve as the board of directors of the non</w:t>
      </w:r>
      <w:r>
        <w:rPr>
          <w:rFonts w:eastAsia="Times New Roman" w:cs="Times New Roman"/>
          <w:color w:val="000000"/>
          <w:szCs w:val="20"/>
        </w:rPr>
        <w:noBreakHyphen/>
        <w:t>profit entity.  The function of the non</w:t>
      </w:r>
      <w:r>
        <w:rPr>
          <w:rFonts w:eastAsia="Times New Roman" w:cs="Times New Roman"/>
          <w:color w:val="000000"/>
          <w:szCs w:val="20"/>
        </w:rPr>
        <w:noBreakHyphen/>
        <w:t>profit entity shall be to receive funds from contributions, grants, class action settlements, and other appropriate sources, and to manage such funds to maintain the tax exempt status of the fund, and to make the funds available to promote the purposes of this act.  The entity shall disburse the funds in accordance with regulations promulgated by the ORS.  The board of directors may use part of the funds to defray the expenses of the ORS in pursuing the purposes of this act.</w:t>
      </w: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The Office of Regulatory Staff shall promulgate regulations to implement a program to provide assistance to low</w:t>
      </w:r>
      <w:r>
        <w:rPr>
          <w:rFonts w:eastAsia="Times New Roman" w:cs="Times New Roman"/>
          <w:color w:val="000000"/>
          <w:szCs w:val="20"/>
        </w:rPr>
        <w:noBreakHyphen/>
        <w:t>income citizens to allow them to take energy efficiency and conservation measures with respect to their residences in this State.  The regulations shall define income qualifications for the program.  All persons whose household income is at or below the federal poverty level as defined by the U.S. Department of Health and Human Services shall qualify.  The regulations may allow additional persons to qualify up to a level of 200 percent of the federal poverty level.</w:t>
      </w: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The Office of Regulatory Staff shall promulgate regulations:</w:t>
      </w: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to define a process by which persons who qualify for assistance shall receive such assistance;</w:t>
      </w: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to ensure that funds provided by the program are directed to energy efficiency programs and that the funds are actually spent directly on such programs;</w:t>
      </w: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to define specific programs that are available; and</w:t>
      </w: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to provide for qualification procedures for contractors or others who wish to deliver energy efficiency programs to low</w:t>
      </w:r>
      <w:r>
        <w:rPr>
          <w:rFonts w:eastAsia="Times New Roman" w:cs="Times New Roman"/>
          <w:color w:val="000000"/>
          <w:szCs w:val="20"/>
        </w:rPr>
        <w:noBreakHyphen/>
        <w:t xml:space="preserve">income citizens. </w:t>
      </w: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The Office of Regulatory Staff shall have the responsibility of disseminating information about the low</w:t>
      </w:r>
      <w:r>
        <w:rPr>
          <w:rFonts w:eastAsia="Times New Roman" w:cs="Times New Roman"/>
          <w:color w:val="000000"/>
          <w:szCs w:val="20"/>
        </w:rPr>
        <w:noBreakHyphen/>
        <w:t>income energy efficiency assistance program to persons who may qualify.</w:t>
      </w: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t>(E)</w:t>
      </w:r>
      <w:r>
        <w:rPr>
          <w:rFonts w:eastAsia="Times New Roman" w:cs="Times New Roman"/>
          <w:color w:val="000000"/>
          <w:szCs w:val="20"/>
        </w:rPr>
        <w:tab/>
        <w:t>In order to promote the purposes of this act and to encourage contributions to the fund, electrical utilities, as defined in Section 58</w:t>
      </w:r>
      <w:r>
        <w:rPr>
          <w:rFonts w:eastAsia="Times New Roman" w:cs="Times New Roman"/>
          <w:color w:val="000000"/>
          <w:szCs w:val="20"/>
        </w:rPr>
        <w:noBreakHyphen/>
        <w:t>27</w:t>
      </w:r>
      <w:r>
        <w:rPr>
          <w:rFonts w:eastAsia="Times New Roman" w:cs="Times New Roman"/>
          <w:color w:val="000000"/>
          <w:szCs w:val="20"/>
        </w:rPr>
        <w:noBreakHyphen/>
        <w:t>10, shall be allowed to treat certain contributions to the fund as operating expenses for rate</w:t>
      </w:r>
      <w:r>
        <w:rPr>
          <w:rFonts w:eastAsia="Times New Roman" w:cs="Times New Roman"/>
          <w:color w:val="000000"/>
          <w:szCs w:val="20"/>
        </w:rPr>
        <w:noBreakHyphen/>
        <w:t>making purposes.  All contributions shall be treated as an allowed operating and maintenance expense of the electrical utility for ratemaking purposes.</w:t>
      </w: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t>(F)</w:t>
      </w:r>
      <w:r>
        <w:rPr>
          <w:rFonts w:eastAsia="Times New Roman" w:cs="Times New Roman"/>
          <w:color w:val="000000"/>
          <w:szCs w:val="20"/>
        </w:rPr>
        <w:tab/>
        <w:t>The Office of Regulatory Staff may appoint an advisory committee of persons from electric utilities, electric cooperatives, and other energy related organizations, as well as persons from poverty assistance organizations.  The purpose of the advisory committee will be to provide advice and guidance to the Office of Regulatory Staff in designing programs to further the goals of this act.</w:t>
      </w: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t>(G)</w:t>
      </w:r>
      <w:r>
        <w:rPr>
          <w:rFonts w:eastAsia="Times New Roman" w:cs="Times New Roman"/>
          <w:color w:val="000000"/>
          <w:szCs w:val="20"/>
        </w:rPr>
        <w:tab/>
        <w:t>The Office of Regulatory Staff shall have the responsibility of further promoting the goals of this act by engaging in activities intended to educate the citizens of South Carolina about the benefits of energy efficiency and conservation.”</w:t>
      </w:r>
    </w:p>
    <w:p w:rsidR="00A15546" w:rsidRDefault="00A1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A15546" w:rsidRDefault="003D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A15546" w:rsidSect="00A1554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546" w:rsidRDefault="003D3960">
      <w:r>
        <w:separator/>
      </w:r>
    </w:p>
  </w:endnote>
  <w:endnote w:type="continuationSeparator" w:id="0">
    <w:p w:rsidR="00A15546" w:rsidRDefault="003D3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8F3995-2360-4353-9970-9A2F7D9DF6D5}"/>
    <w:embedBold r:id="rId2" w:fontKey="{D36CD6B2-90D2-4DEF-9282-3A263FA0B73E}"/>
  </w:font>
  <w:font w:name="Calibri">
    <w:panose1 w:val="020F0502020204030204"/>
    <w:charset w:val="00"/>
    <w:family w:val="swiss"/>
    <w:pitch w:val="variable"/>
    <w:sig w:usb0="E10002FF" w:usb1="4000ACFF" w:usb2="00000009" w:usb3="00000000" w:csb0="0000019F" w:csb1="00000000"/>
    <w:embedRegular r:id="rId3" w:fontKey="{C5163752-5919-44A4-BB14-E25118E40152}"/>
    <w:embedBold r:id="rId4" w:fontKey="{B411DD18-3F70-46D3-B788-D766B91AB88F}"/>
  </w:font>
  <w:font w:name="Tahoma">
    <w:panose1 w:val="020B0604030504040204"/>
    <w:charset w:val="00"/>
    <w:family w:val="swiss"/>
    <w:pitch w:val="variable"/>
    <w:sig w:usb0="21002A87" w:usb1="80000000" w:usb2="00000008" w:usb3="00000000" w:csb0="000101FF" w:csb1="00000000"/>
    <w:embedRegular r:id="rId5" w:fontKey="{223C45FD-B2A4-49DD-9164-6650F813C33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79EA4625-86CF-4FF3-A421-DE8CA1EC19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546" w:rsidRDefault="003D3960">
    <w:pPr>
      <w:pStyle w:val="Footer"/>
      <w:tabs>
        <w:tab w:val="clear" w:pos="4680"/>
        <w:tab w:val="clear" w:pos="9360"/>
        <w:tab w:val="center" w:pos="2995"/>
      </w:tabs>
      <w:spacing w:before="120"/>
    </w:pPr>
    <w:r>
      <w:t>[8]</w:t>
    </w:r>
    <w:r>
      <w:tab/>
    </w:r>
    <w:r w:rsidR="00555F44">
      <w:fldChar w:fldCharType="begin"/>
    </w:r>
    <w:r w:rsidR="00555F44">
      <w:instrText xml:space="preserve"> PAGE  \* MERGEFORMAT </w:instrText>
    </w:r>
    <w:r w:rsidR="00555F44">
      <w:fldChar w:fldCharType="separate"/>
    </w:r>
    <w:r w:rsidR="00555F44">
      <w:rPr>
        <w:noProof/>
      </w:rPr>
      <w:t>1</w:t>
    </w:r>
    <w:r w:rsidR="00555F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546" w:rsidRDefault="003D3960">
      <w:r>
        <w:separator/>
      </w:r>
    </w:p>
  </w:footnote>
  <w:footnote w:type="continuationSeparator" w:id="0">
    <w:p w:rsidR="00A15546" w:rsidRDefault="003D39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15546"/>
    <w:rsid w:val="0001422B"/>
    <w:rsid w:val="000E566B"/>
    <w:rsid w:val="001D1942"/>
    <w:rsid w:val="001D43A8"/>
    <w:rsid w:val="003D3960"/>
    <w:rsid w:val="00555F44"/>
    <w:rsid w:val="00A15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7CAC9F-21BD-4DEE-849D-5B1FF6E18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5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15546"/>
    <w:rPr>
      <w:szCs w:val="21"/>
    </w:rPr>
  </w:style>
  <w:style w:type="character" w:customStyle="1" w:styleId="PlainTextChar">
    <w:name w:val="Plain Text Char"/>
    <w:basedOn w:val="DefaultParagraphFont"/>
    <w:link w:val="PlainText"/>
    <w:uiPriority w:val="99"/>
    <w:rsid w:val="00A15546"/>
    <w:rPr>
      <w:szCs w:val="21"/>
    </w:rPr>
  </w:style>
  <w:style w:type="paragraph" w:styleId="BodyText">
    <w:name w:val="Body Text"/>
    <w:basedOn w:val="Normal"/>
    <w:link w:val="BodyTextChar"/>
    <w:uiPriority w:val="99"/>
    <w:locked/>
    <w:rsid w:val="00A15546"/>
  </w:style>
  <w:style w:type="character" w:customStyle="1" w:styleId="BodyTextChar">
    <w:name w:val="Body Text Char"/>
    <w:basedOn w:val="DefaultParagraphFont"/>
    <w:link w:val="BodyText"/>
    <w:uiPriority w:val="99"/>
    <w:rsid w:val="00A15546"/>
  </w:style>
  <w:style w:type="paragraph" w:styleId="BalloonText">
    <w:name w:val="Balloon Text"/>
    <w:next w:val="Normal"/>
    <w:link w:val="BalloonTextChar"/>
    <w:uiPriority w:val="99"/>
    <w:unhideWhenUsed/>
    <w:rsid w:val="00A15546"/>
    <w:rPr>
      <w:rFonts w:cs="Tahoma"/>
      <w:szCs w:val="16"/>
    </w:rPr>
  </w:style>
  <w:style w:type="character" w:customStyle="1" w:styleId="BalloonTextChar">
    <w:name w:val="Balloon Text Char"/>
    <w:basedOn w:val="DefaultParagraphFont"/>
    <w:link w:val="BalloonText"/>
    <w:uiPriority w:val="99"/>
    <w:rsid w:val="00A15546"/>
    <w:rPr>
      <w:rFonts w:cs="Tahoma"/>
      <w:szCs w:val="16"/>
    </w:rPr>
  </w:style>
  <w:style w:type="paragraph" w:styleId="NormalWeb">
    <w:name w:val="Normal (Web)"/>
    <w:basedOn w:val="Normal"/>
    <w:next w:val="Normal"/>
    <w:semiHidden/>
    <w:locked/>
    <w:rsid w:val="00A1554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15546"/>
    <w:pPr>
      <w:tabs>
        <w:tab w:val="center" w:pos="4680"/>
        <w:tab w:val="right" w:pos="9360"/>
      </w:tabs>
    </w:pPr>
  </w:style>
  <w:style w:type="character" w:customStyle="1" w:styleId="FooterChar">
    <w:name w:val="Footer Char"/>
    <w:basedOn w:val="DefaultParagraphFont"/>
    <w:link w:val="Footer"/>
    <w:uiPriority w:val="99"/>
    <w:semiHidden/>
    <w:rsid w:val="00A15546"/>
  </w:style>
  <w:style w:type="paragraph" w:styleId="Header">
    <w:name w:val="header"/>
    <w:basedOn w:val="Normal"/>
    <w:link w:val="HeaderChar"/>
    <w:uiPriority w:val="99"/>
    <w:semiHidden/>
    <w:unhideWhenUsed/>
    <w:locked/>
    <w:rsid w:val="00A15546"/>
    <w:pPr>
      <w:tabs>
        <w:tab w:val="center" w:pos="4680"/>
        <w:tab w:val="right" w:pos="9360"/>
      </w:tabs>
    </w:pPr>
  </w:style>
  <w:style w:type="character" w:customStyle="1" w:styleId="HeaderChar">
    <w:name w:val="Header Char"/>
    <w:basedOn w:val="DefaultParagraphFont"/>
    <w:link w:val="Header"/>
    <w:uiPriority w:val="99"/>
    <w:semiHidden/>
    <w:rsid w:val="00A15546"/>
  </w:style>
  <w:style w:type="character" w:styleId="LineNumber">
    <w:name w:val="line number"/>
    <w:basedOn w:val="DefaultParagraphFont"/>
    <w:uiPriority w:val="99"/>
    <w:semiHidden/>
    <w:unhideWhenUsed/>
    <w:locked/>
    <w:rsid w:val="00A15546"/>
  </w:style>
  <w:style w:type="character" w:styleId="Hyperlink">
    <w:name w:val="Hyperlink"/>
    <w:basedOn w:val="DefaultParagraphFont"/>
    <w:uiPriority w:val="99"/>
    <w:unhideWhenUsed/>
    <w:locked/>
    <w:rsid w:val="00A155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926</Words>
  <Characters>5246</Characters>
  <Application>Microsoft Office Word</Application>
  <DocSecurity>0</DocSecurity>
  <Lines>150</Lines>
  <Paragraphs>42</Paragraphs>
  <ScaleCrop>false</ScaleCrop>
  <Company>Project Management</Company>
  <LinksUpToDate>false</LinksUpToDate>
  <CharactersWithSpaces>6163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 Office of Regulatory Staff - South Carolina Legislature Online</dc:title>
  <dc:subject/>
  <dc:creator>NSC</dc:creator>
  <cp:keywords/>
  <dc:description/>
  <cp:lastModifiedBy>N Cumfer</cp:lastModifiedBy>
  <cp:revision>16</cp:revision>
  <dcterms:created xsi:type="dcterms:W3CDTF">2008-12-10T18:55:00Z</dcterms:created>
  <dcterms:modified xsi:type="dcterms:W3CDTF">2014-11-24T14:46:00Z</dcterms:modified>
</cp:coreProperties>
</file>