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D56CE2">
        <w:rPr>
          <w:rFonts w:eastAsia="Times New Roman"/>
        </w:rPr>
        <w:t>AMENDMENT ADOPTED AND AMENDED</w:t>
      </w:r>
    </w:p>
    <w:p w:rsidR="00353799" w:rsidRDefault="00D56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w:t>
      </w:r>
      <w:r w:rsidR="00353799">
        <w:rPr>
          <w:rFonts w:eastAsia="Times New Roman"/>
        </w:rPr>
        <w:t>, 2010</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Pr="00353799" w:rsidRDefault="00353799" w:rsidP="00353799">
      <w:pPr>
        <w:tabs>
          <w:tab w:val="right" w:pos="5933"/>
        </w:tabs>
        <w:suppressAutoHyphens/>
        <w:jc w:val="both"/>
        <w:rPr>
          <w:rFonts w:eastAsia="Times New Roman"/>
        </w:rPr>
      </w:pPr>
      <w:r>
        <w:rPr>
          <w:rFonts w:eastAsia="Times New Roman"/>
        </w:rPr>
        <w:tab/>
      </w:r>
      <w:r>
        <w:rPr>
          <w:rFonts w:eastAsia="Times New Roman"/>
          <w:b/>
          <w:sz w:val="36"/>
        </w:rPr>
        <w:t>S. 1065</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81566">
        <w:t>Senators Hayes, Malloy, Lourie, Thomas, Sheheen, Fair and Anderson</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w:t>
      </w:r>
      <w:r w:rsidR="00D56CE2">
        <w:rPr>
          <w:rFonts w:eastAsia="Times New Roman"/>
        </w:rPr>
        <w:t>7</w:t>
      </w:r>
      <w:r>
        <w:rPr>
          <w:rFonts w:eastAsia="Times New Roman"/>
        </w:rPr>
        <w:t>/10--S.</w:t>
      </w:r>
    </w:p>
    <w:p w:rsid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2010.</w:t>
      </w:r>
    </w:p>
    <w:p w:rsidR="00353799" w:rsidRDefault="00353799"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3799" w:rsidRPr="00353799" w:rsidRDefault="00353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3799" w:rsidRPr="00353799" w:rsidSect="003537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25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7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501</w:t>
      </w:r>
      <w:r w:rsidR="004F564C">
        <w:rPr>
          <w:rFonts w:eastAsia="Times New Roman"/>
        </w:rPr>
        <w:t xml:space="preserve">, AS AMENDED, </w:t>
      </w:r>
      <w:r>
        <w:rPr>
          <w:rFonts w:eastAsia="Times New Roman"/>
        </w:rPr>
        <w:t>OF THE 1976 CODE, RELATING TO THE DEFINITION OF SUPERVISED LOAN, TO PROVIDE THAT CERTAIN CLOSED</w:t>
      </w:r>
      <w:r w:rsidR="00475755">
        <w:rPr>
          <w:rFonts w:eastAsia="Times New Roman"/>
        </w:rPr>
        <w:noBreakHyphen/>
      </w:r>
      <w:r>
        <w:rPr>
          <w:rFonts w:eastAsia="Times New Roman"/>
        </w:rPr>
        <w:t>END CREDIT TRANSACTIONS ARE NOT SUPERVISED LOANS; AND TO AMEND SECTION 37</w:t>
      </w:r>
      <w:r w:rsidR="00475755">
        <w:rPr>
          <w:rFonts w:eastAsia="Times New Roman"/>
        </w:rPr>
        <w:noBreakHyphen/>
      </w:r>
      <w:r>
        <w:rPr>
          <w:rFonts w:eastAsia="Times New Roman"/>
        </w:rPr>
        <w:t>3</w:t>
      </w:r>
      <w:r w:rsidR="00475755">
        <w:rPr>
          <w:rFonts w:eastAsia="Times New Roman"/>
        </w:rPr>
        <w:noBreakHyphen/>
      </w:r>
      <w:r>
        <w:rPr>
          <w:rFonts w:eastAsia="Times New Roman"/>
        </w:rPr>
        <w:t>503, RELATING TO A LICENSE TO MAKE SUPERVISED LOANS, TO PROVIDE THAT CERTAIN LICENSED DEFERRED PRESENTMENT PROVIDERS MAY NOT CONDUCT THE BUSINESS OF MAKING SUPERVISED LOANS</w:t>
      </w:r>
      <w:r w:rsidR="00EE5CDE">
        <w:rPr>
          <w:rFonts w:eastAsia="Times New Roman"/>
        </w:rPr>
        <w:t>,</w:t>
      </w:r>
      <w:r>
        <w:rPr>
          <w:rFonts w:eastAsia="Times New Roman"/>
        </w:rPr>
        <w:t xml:space="preserve"> TO PROVIDE PENALTIES</w:t>
      </w:r>
      <w:r w:rsidR="00EE5CDE">
        <w:rPr>
          <w:rFonts w:eastAsia="Times New Roman"/>
        </w:rPr>
        <w:t>,</w:t>
      </w:r>
      <w:r>
        <w:rPr>
          <w:rFonts w:eastAsia="Times New Roman"/>
        </w:rPr>
        <w:t xml:space="preserve"> AND TO PROVIDE NECESSARY DEFINITIONS.</w:t>
      </w:r>
    </w:p>
    <w:p w:rsidR="00D56CE2" w:rsidRDefault="00D56C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925D1" w:rsidRDefault="00D925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9BC">
        <w:rPr>
          <w:color w:val="000000" w:themeColor="text1"/>
          <w:u w:color="000000" w:themeColor="text1"/>
        </w:rPr>
        <w:t>Be it enacted by the General Assembly of the State of South Carolina:</w:t>
      </w:r>
    </w:p>
    <w:p w:rsidR="00A653CF" w:rsidRPr="00A819BC" w:rsidRDefault="00A653CF" w:rsidP="00A65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1.</w:t>
      </w:r>
      <w:r w:rsidRPr="00233F42">
        <w:rPr>
          <w:color w:val="000000"/>
          <w:u w:color="000000"/>
        </w:rPr>
        <w:tab/>
        <w:t>Section 37</w:t>
      </w:r>
      <w:r w:rsidRPr="00233F42">
        <w:rPr>
          <w:color w:val="000000"/>
          <w:u w:color="000000"/>
        </w:rPr>
        <w:noBreakHyphen/>
        <w:t>3</w:t>
      </w:r>
      <w:r w:rsidRPr="00233F42">
        <w:rPr>
          <w:color w:val="000000"/>
          <w:u w:color="000000"/>
        </w:rPr>
        <w:noBreakHyphen/>
        <w:t>501(1) of the 1976 Code, as last amended by Act 67 of 2009, is further amended to read:</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color="000000"/>
        </w:rPr>
      </w:pPr>
      <w:r w:rsidRPr="00233F42">
        <w:rPr>
          <w:color w:val="000000"/>
          <w:u w:color="000000"/>
        </w:rPr>
        <w:tab/>
        <w:t>“</w:t>
      </w:r>
      <w:r>
        <w:rPr>
          <w:color w:val="000000"/>
          <w:u w:color="000000"/>
        </w:rPr>
        <w:t>Section 37-3-501.</w:t>
      </w:r>
      <w:r>
        <w:rPr>
          <w:color w:val="000000"/>
          <w:u w:color="000000"/>
        </w:rPr>
        <w:tab/>
      </w:r>
      <w:r>
        <w:rPr>
          <w:color w:val="000000"/>
          <w:u w:color="000000"/>
        </w:rPr>
        <w:tab/>
      </w:r>
      <w:r w:rsidRPr="00233F42">
        <w:rPr>
          <w:color w:val="000000"/>
          <w:u w:color="000000"/>
        </w:rPr>
        <w:t>(1)</w:t>
      </w:r>
      <w:r w:rsidRPr="00233F42">
        <w:rPr>
          <w:color w:val="000000"/>
          <w:u w:color="000000"/>
        </w:rPr>
        <w:tab/>
        <w:t>‘Supervised loan’ means a consumer loan in which the rate of the loan finance charge exceeds twelve percent per year as determined according to the provisions on the loan finance charge for consumer loans (Section 37</w:t>
      </w:r>
      <w:r w:rsidRPr="00233F42">
        <w:rPr>
          <w:color w:val="000000"/>
          <w:u w:color="000000"/>
        </w:rPr>
        <w:noBreakHyphen/>
        <w:t>3</w:t>
      </w:r>
      <w:r w:rsidRPr="00233F42">
        <w:rPr>
          <w:color w:val="000000"/>
          <w:u w:color="000000"/>
        </w:rPr>
        <w:noBreakHyphen/>
        <w:t xml:space="preserve">201).  A supervised loan does not include </w:t>
      </w:r>
      <w:r w:rsidRPr="00233F42">
        <w:rPr>
          <w:strike/>
          <w:color w:val="000000"/>
          <w:u w:color="000000"/>
        </w:rPr>
        <w:t>a mortgage loan as defined in Section 37</w:t>
      </w:r>
      <w:r w:rsidRPr="00233F42">
        <w:rPr>
          <w:strike/>
          <w:color w:val="000000"/>
          <w:u w:color="000000"/>
        </w:rPr>
        <w:noBreakHyphen/>
        <w:t>22</w:t>
      </w:r>
      <w:r w:rsidRPr="00233F42">
        <w:rPr>
          <w:strike/>
          <w:color w:val="000000"/>
          <w:u w:color="000000"/>
        </w:rPr>
        <w:noBreakHyphen/>
        <w:t>110(30).</w:t>
      </w:r>
      <w:r w:rsidRPr="00233F42">
        <w:rPr>
          <w:color w:val="000000"/>
          <w:u w:val="single" w:color="000000"/>
        </w:rP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(a)</w:t>
      </w:r>
      <w:r w:rsidRPr="00233F42">
        <w:rPr>
          <w:color w:val="000000"/>
          <w:u w:color="000000"/>
        </w:rPr>
        <w:tab/>
      </w:r>
      <w:r w:rsidRPr="00233F42">
        <w:rPr>
          <w:color w:val="000000"/>
          <w:u w:val="single" w:color="000000"/>
        </w:rPr>
        <w:t>a mortgage loan as defined in Section 37</w:t>
      </w:r>
      <w:r w:rsidRPr="00233F42">
        <w:rPr>
          <w:color w:val="000000"/>
          <w:u w:val="single" w:color="000000"/>
        </w:rPr>
        <w:noBreakHyphen/>
        <w:t>22</w:t>
      </w:r>
      <w:r w:rsidRPr="00233F42">
        <w:rPr>
          <w:color w:val="000000"/>
          <w:u w:val="single" w:color="000000"/>
        </w:rPr>
        <w:noBreakHyphen/>
        <w:t>110(30); or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val="single" w:color="000000"/>
        </w:rPr>
        <w:t>(b)</w:t>
      </w:r>
      <w:r w:rsidRPr="00233F42">
        <w:rPr>
          <w:color w:val="000000"/>
          <w:u w:color="000000"/>
        </w:rPr>
        <w:tab/>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and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w:t>
      </w:r>
      <w:r w:rsidRPr="00233F42">
        <w:rPr>
          <w:color w:val="000000"/>
          <w:u w:val="single" w:color="000000"/>
        </w:rPr>
        <w:t xml:space="preserve"> and the consumer: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lastRenderedPageBreak/>
        <w:tab/>
      </w:r>
      <w:r w:rsidRPr="00233F42">
        <w:rPr>
          <w:color w:val="000000"/>
          <w:u w:color="000000"/>
        </w:rPr>
        <w:tab/>
      </w:r>
      <w:r w:rsidRPr="00233F42">
        <w:rPr>
          <w:color w:val="000000"/>
          <w:u w:color="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r>
      <w:r w:rsidRPr="00233F42">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36</w:t>
      </w:r>
      <w:r w:rsidRPr="00233F42">
        <w:rPr>
          <w:u w:val="single" w:color="000000"/>
        </w:rPr>
        <w:noBreakHyphen/>
        <w:t>3</w:t>
      </w:r>
      <w:r w:rsidRPr="00233F42">
        <w:rPr>
          <w:u w:val="single" w:color="000000"/>
        </w:rPr>
        <w:noBreakHyphen/>
        <w:t>103(16)</w:t>
      </w:r>
      <w:r w:rsidRPr="00233F42">
        <w:rPr>
          <w:color w:val="000000"/>
          <w:u w:val="single" w:color="000000"/>
        </w:rPr>
        <w:t>.</w:t>
      </w:r>
      <w:r w:rsidRPr="00233F42">
        <w:rPr>
          <w:color w:val="000000"/>
          <w:u w:color="000000"/>
        </w:rPr>
        <w:t>”</w:t>
      </w:r>
    </w:p>
    <w:p w:rsidR="00D56CE2" w:rsidRPr="004B0F39"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3F42">
        <w:rPr>
          <w:color w:val="000000"/>
          <w:u w:color="000000"/>
        </w:rPr>
        <w:tab/>
      </w:r>
      <w:r w:rsidRPr="00233F42">
        <w:rPr>
          <w:u w:val="single"/>
        </w:rPr>
        <w:t xml:space="preserve">The provisions of subitem (b) do not apply to </w:t>
      </w:r>
      <w:r>
        <w:rPr>
          <w:u w:val="single"/>
        </w:rPr>
        <w:t xml:space="preserve">credit unions, </w:t>
      </w:r>
      <w:r w:rsidRPr="00233F42">
        <w:rPr>
          <w:u w:val="single"/>
        </w:rPr>
        <w:t>bank holding companies, banks or financial institutions insured by the Federal Deposit Insurance Corporation.</w:t>
      </w:r>
      <w: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SECTION</w:t>
      </w:r>
      <w:r w:rsidRPr="00233F42">
        <w:rPr>
          <w:color w:val="000000"/>
          <w:u w:color="000000"/>
        </w:rPr>
        <w:tab/>
        <w:t>2.</w:t>
      </w:r>
      <w:r w:rsidRPr="00233F42">
        <w:rPr>
          <w:color w:val="000000"/>
          <w:u w:color="000000"/>
        </w:rPr>
        <w:tab/>
        <w:t>Section 37</w:t>
      </w:r>
      <w:r w:rsidRPr="00233F42">
        <w:rPr>
          <w:color w:val="000000"/>
          <w:u w:color="000000"/>
        </w:rPr>
        <w:noBreakHyphen/>
        <w:t>3</w:t>
      </w:r>
      <w:r w:rsidRPr="00233F42">
        <w:rPr>
          <w:color w:val="000000"/>
          <w:u w:color="000000"/>
        </w:rPr>
        <w:noBreakHyphen/>
        <w:t>503(7) of the 1976 Code is amended to read:</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u w:color="000000"/>
        </w:rPr>
        <w:tab/>
        <w:t>“(7)</w:t>
      </w:r>
      <w:r w:rsidRPr="00233F42">
        <w:rPr>
          <w:color w:val="000000"/>
          <w:u w:val="single" w:color="000000"/>
        </w:rPr>
        <w:t>(a)</w:t>
      </w:r>
      <w:r w:rsidRPr="00233F42">
        <w:rPr>
          <w:color w:val="000000"/>
          <w:u w:color="000000"/>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233F42">
        <w:rPr>
          <w:color w:val="000000"/>
          <w:u w:color="000000"/>
        </w:rPr>
        <w:tab/>
      </w:r>
      <w:r w:rsidRPr="00233F42">
        <w:rPr>
          <w:u w:val="single" w:color="000000"/>
        </w:rPr>
        <w:t>(b)(1)</w:t>
      </w:r>
      <w:r w:rsidRPr="00373AFE">
        <w:tab/>
      </w:r>
      <w:r w:rsidRPr="00233F42">
        <w:rPr>
          <w:u w:val="single" w:color="000000"/>
        </w:rPr>
        <w:t xml:space="preserve">A person licensed to make supervised loans may not make </w:t>
      </w:r>
      <w:r>
        <w:rPr>
          <w:u w:val="single" w:color="000000"/>
        </w:rPr>
        <w:t>or</w:t>
      </w:r>
      <w:r w:rsidRPr="00233F42">
        <w:rPr>
          <w:u w:val="single" w:color="000000"/>
        </w:rPr>
        <w:t xml:space="preserve"> enter into </w:t>
      </w:r>
      <w:r w:rsidRPr="00233F42">
        <w:rPr>
          <w:color w:val="000000"/>
          <w:u w:val="single" w:color="000000"/>
        </w:rPr>
        <w:t>a closed</w:t>
      </w:r>
      <w:r w:rsidRPr="00233F42">
        <w:rPr>
          <w:color w:val="000000"/>
          <w:u w:val="single" w:color="000000"/>
        </w:rPr>
        <w:noBreakHyphen/>
        <w:t xml:space="preserve">end credit transaction, </w:t>
      </w:r>
      <w:r w:rsidRPr="00233F42">
        <w:rPr>
          <w:u w:val="single" w:color="000000"/>
        </w:rPr>
        <w:t>with an original repayment term of less than one hundred and twenty days,</w:t>
      </w:r>
      <w:r w:rsidRPr="00233F42">
        <w:rPr>
          <w:color w:val="000000"/>
          <w:u w:val="single" w:color="000000"/>
        </w:rPr>
        <w:t xml:space="preserve"> unsecured by any interest in the consumer’s personal property </w:t>
      </w:r>
      <w:r w:rsidRPr="00233F42">
        <w:rPr>
          <w:u w:val="single" w:color="000000"/>
        </w:rPr>
        <w:t>or secured by personal property, excluding motor vehicles</w:t>
      </w:r>
      <w:r>
        <w:rPr>
          <w:u w:val="single" w:color="000000"/>
        </w:rPr>
        <w:t xml:space="preserve"> that are free of any other liens or encumbrances</w:t>
      </w:r>
      <w:r w:rsidRPr="00233F42">
        <w:rPr>
          <w:u w:val="single" w:color="000000"/>
        </w:rPr>
        <w:t>, that does not have a market value that reasonably secures the amount of the loan, and the consumer:</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233F42">
        <w:rPr>
          <w:color w:val="000000"/>
        </w:rPr>
        <w:tab/>
      </w:r>
      <w:r w:rsidR="00CE2D21">
        <w:rPr>
          <w:color w:val="000000"/>
        </w:rPr>
        <w:tab/>
      </w:r>
      <w:r w:rsidRPr="00233F42">
        <w:rPr>
          <w:color w:val="000000"/>
        </w:rPr>
        <w:tab/>
      </w:r>
      <w:r w:rsidRPr="00233F42">
        <w:rPr>
          <w:color w:val="000000"/>
          <w:u w:val="single" w:color="000000"/>
        </w:rPr>
        <w:t>(i)</w:t>
      </w:r>
      <w:r w:rsidRPr="00233F42">
        <w:rPr>
          <w:color w:val="000000"/>
          <w:u w:color="000000"/>
        </w:rPr>
        <w:tab/>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D56CE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233F42">
        <w:rPr>
          <w:color w:val="000000"/>
          <w:u w:color="000000"/>
        </w:rPr>
        <w:tab/>
      </w:r>
      <w:r w:rsidR="00CE2D21">
        <w:rPr>
          <w:color w:val="000000"/>
          <w:u w:color="000000"/>
        </w:rPr>
        <w:tab/>
      </w:r>
      <w:r w:rsidRPr="00233F42">
        <w:rPr>
          <w:color w:val="000000"/>
          <w:u w:color="000000"/>
        </w:rPr>
        <w:tab/>
      </w:r>
      <w:r w:rsidRPr="00233F42">
        <w:rPr>
          <w:color w:val="000000"/>
          <w:u w:val="single" w:color="000000"/>
        </w:rPr>
        <w:t>(ii)</w:t>
      </w:r>
      <w:r w:rsidRPr="00233F42">
        <w:rPr>
          <w:color w:val="000000"/>
          <w:u w:color="000000"/>
        </w:rPr>
        <w:tab/>
      </w:r>
      <w:r w:rsidRPr="00233F42">
        <w:rPr>
          <w:color w:val="000000"/>
          <w:u w:val="single" w:color="000000"/>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w:t>
      </w:r>
      <w:r w:rsidRPr="00233F42">
        <w:rPr>
          <w:u w:val="single" w:color="000000"/>
        </w:rPr>
        <w:t xml:space="preserve"> or remotely created consumer item as defined in 36</w:t>
      </w:r>
      <w:r w:rsidRPr="00233F42">
        <w:rPr>
          <w:u w:val="single" w:color="000000"/>
        </w:rPr>
        <w:noBreakHyphen/>
        <w:t>3</w:t>
      </w:r>
      <w:r w:rsidRPr="00233F42">
        <w:rPr>
          <w:u w:val="single" w:color="000000"/>
        </w:rPr>
        <w:noBreakHyphen/>
        <w:t>103(16)</w:t>
      </w:r>
      <w:r w:rsidRPr="00233F42">
        <w:rPr>
          <w:color w:val="000000"/>
          <w:u w:val="single" w:color="000000"/>
        </w:rPr>
        <w:t>.</w:t>
      </w:r>
      <w:r w:rsidRPr="00233F42">
        <w:rPr>
          <w:u w:val="single" w:color="000000"/>
        </w:rPr>
        <w:t xml:space="preserve"> </w:t>
      </w:r>
      <w:r w:rsidRPr="00233F42">
        <w:rPr>
          <w:u w:color="000000"/>
        </w:rPr>
        <w:tab/>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rPr>
          <w:color w:val="000000"/>
        </w:rPr>
        <w:lastRenderedPageBreak/>
        <w:tab/>
      </w:r>
      <w:r w:rsidR="00CE2D21">
        <w:rPr>
          <w:color w:val="000000"/>
        </w:rPr>
        <w:tab/>
      </w:r>
      <w:r w:rsidRPr="00233F42">
        <w:rPr>
          <w:color w:val="000000"/>
          <w:u w:val="single" w:color="000000"/>
        </w:rPr>
        <w:t>(2)</w:t>
      </w:r>
      <w:r w:rsidRPr="004B0F39">
        <w:rPr>
          <w:color w:val="000000"/>
        </w:rPr>
        <w:tab/>
      </w:r>
      <w:r w:rsidRPr="00233F42">
        <w:rPr>
          <w:u w:val="single"/>
        </w:rPr>
        <w:t>The Board shall impose the following penalties for violation of this item:</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(a)</w:t>
      </w:r>
      <w:r w:rsidRPr="004B0F39">
        <w:tab/>
      </w:r>
      <w:r w:rsidRPr="00233F42">
        <w:rPr>
          <w:u w:val="single"/>
        </w:rPr>
        <w:t>a fine of $500.00 for the first violation;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(b)</w:t>
      </w:r>
      <w:r w:rsidRPr="004B0F39">
        <w:tab/>
      </w:r>
      <w:r w:rsidRPr="00233F42">
        <w:rPr>
          <w:u w:val="single"/>
        </w:rPr>
        <w:t xml:space="preserve">a fine of $1,000.00 for the second violation; </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(c)</w:t>
      </w:r>
      <w:r>
        <w:tab/>
      </w:r>
      <w:r w:rsidRPr="00233F42">
        <w:rPr>
          <w:u w:val="single"/>
        </w:rPr>
        <w:t>permanent revocation of license for the third violation.</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233F42">
        <w:rPr>
          <w:u w:val="single"/>
        </w:rPr>
        <w:t>The board may not revoke a license issued pursuant to this chapter unless the licensee has been given notice and opportunity for hearing in accordance with the Administrative Procedures Act.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B0F39">
        <w:tab/>
      </w:r>
      <w:r w:rsidRPr="004B0F39">
        <w:tab/>
      </w:r>
      <w:r w:rsidR="00CE2D21">
        <w:tab/>
      </w:r>
      <w:r w:rsidRPr="00233F42">
        <w:rPr>
          <w:u w:val="single"/>
        </w:rPr>
        <w:t>(3)</w:t>
      </w:r>
      <w:r w:rsidRPr="004B0F39">
        <w:tab/>
      </w:r>
      <w:r w:rsidRPr="00233F42">
        <w:rPr>
          <w:u w:val="single"/>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D56CE2" w:rsidRPr="004B0F39"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B0F39">
        <w:rPr>
          <w:u w:val="single"/>
        </w:rPr>
        <w:t>(c)</w:t>
      </w:r>
      <w:r w:rsidRPr="00233F42">
        <w:tab/>
      </w:r>
      <w:r w:rsidRPr="00233F42">
        <w:rPr>
          <w:u w:val="single"/>
        </w:rPr>
        <w:t xml:space="preserve">The provisions of subsection </w:t>
      </w:r>
      <w:r>
        <w:rPr>
          <w:u w:val="single"/>
        </w:rPr>
        <w:t>(b)(1)</w:t>
      </w:r>
      <w:r w:rsidRPr="00233F42">
        <w:rPr>
          <w:u w:val="single"/>
        </w:rPr>
        <w:t xml:space="preserve"> do not apply to </w:t>
      </w:r>
      <w:r>
        <w:rPr>
          <w:u w:val="single"/>
        </w:rPr>
        <w:t xml:space="preserve">credit unions, </w:t>
      </w:r>
      <w:r w:rsidRPr="00233F42">
        <w:rPr>
          <w:u w:val="single"/>
        </w:rPr>
        <w:t>bank holding companies, banks or financial institutions insured by the Federal Deposit Insurance Corporation.</w:t>
      </w:r>
    </w:p>
    <w:p w:rsidR="00D56CE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Pr>
          <w:u w:color="000000"/>
        </w:rPr>
        <w:tab/>
      </w:r>
      <w:r w:rsidRPr="00CE2D21">
        <w:rPr>
          <w:u w:val="single"/>
        </w:rPr>
        <w:t>(d)</w:t>
      </w:r>
      <w:r>
        <w:rPr>
          <w:u w:color="000000"/>
        </w:rPr>
        <w:tab/>
      </w:r>
      <w:r w:rsidRPr="00CE2D21">
        <w:rPr>
          <w:u w:val="single"/>
        </w:rPr>
        <w:t>A person licensed to make supervised loans that makes supervised loans secured by a motor vehicle that have an original repayment term of less than one hundred twenty days must comply with the provisions contained in Section 37-3-413.</w:t>
      </w:r>
      <w:r>
        <w:rPr>
          <w:u w:color="000000"/>
        </w:rPr>
        <w:t>”</w:t>
      </w:r>
    </w:p>
    <w:p w:rsidR="00D56CE2" w:rsidRPr="00233F42"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E0261F" w:rsidRDefault="00D56CE2" w:rsidP="00D56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33F42">
        <w:rPr>
          <w:color w:val="000000"/>
          <w:u w:color="000000"/>
        </w:rPr>
        <w:t>SECTION</w:t>
      </w:r>
      <w:r w:rsidRPr="00233F42">
        <w:rPr>
          <w:color w:val="000000"/>
          <w:u w:color="000000"/>
        </w:rPr>
        <w:tab/>
        <w:t>3.</w:t>
      </w:r>
      <w:r w:rsidRPr="00233F42">
        <w:rPr>
          <w:color w:val="000000"/>
          <w:u w:color="000000"/>
        </w:rPr>
        <w:tab/>
        <w:t xml:space="preserve">This act takes effect upon approval by the Governor.  </w:t>
      </w:r>
      <w:r w:rsidR="00475755">
        <w:rPr>
          <w:rFonts w:eastAsia="Times New Roman"/>
        </w:rPr>
        <w:noBreakHyphen/>
      </w:r>
      <w:r w:rsidR="00475755">
        <w:rPr>
          <w:rFonts w:eastAsia="Times New Roman"/>
        </w:rPr>
        <w:noBreakHyphen/>
      </w:r>
      <w:r w:rsidR="00475755">
        <w:rPr>
          <w:rFonts w:eastAsia="Times New Roman"/>
        </w:rPr>
        <w:noBreakHyphen/>
      </w:r>
      <w:r w:rsidR="00475755">
        <w:rPr>
          <w:rFonts w:eastAsia="Times New Roman"/>
        </w:rPr>
        <w:noBreakHyphen/>
      </w:r>
      <w:r w:rsidR="00522CE0" w:rsidRPr="00522CE0">
        <w:rPr>
          <w:rFonts w:eastAsia="Times New Roman"/>
        </w:rPr>
        <w:t>XX</w:t>
      </w:r>
      <w:r w:rsidR="00475755">
        <w:rPr>
          <w:rFonts w:eastAsia="Times New Roman"/>
        </w:rPr>
        <w:noBreakHyphen/>
      </w:r>
      <w:r w:rsidR="00475755">
        <w:rPr>
          <w:rFonts w:eastAsia="Times New Roman"/>
        </w:rPr>
        <w:noBreakHyphen/>
      </w:r>
      <w:r w:rsidR="00475755">
        <w:rPr>
          <w:rFonts w:eastAsia="Times New Roman"/>
        </w:rPr>
        <w:noBreakHyphen/>
      </w:r>
      <w:r w:rsidR="00475755">
        <w:rPr>
          <w:rFonts w:eastAsia="Times New Roman"/>
        </w:rPr>
        <w:noBreakHyphen/>
      </w:r>
    </w:p>
    <w:p w:rsidR="00E0261F" w:rsidRDefault="00E0261F" w:rsidP="002D6568">
      <w:pPr>
        <w:suppressAutoHyphens/>
        <w:jc w:val="both"/>
        <w:rPr>
          <w:rFonts w:eastAsia="Times New Roman"/>
        </w:rPr>
      </w:pPr>
    </w:p>
    <w:sectPr w:rsidR="00E0261F" w:rsidSect="003537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030" w:rsidRDefault="008B2030" w:rsidP="00522CE0">
      <w:r>
        <w:separator/>
      </w:r>
    </w:p>
  </w:endnote>
  <w:endnote w:type="continuationSeparator" w:id="0">
    <w:p w:rsidR="008B2030" w:rsidRDefault="008B203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FB44C-CAD1-448F-9C71-455817ACAC09}"/>
    <w:embedBold r:id="rId2" w:fontKey="{F047D3D5-1C59-4170-B2E9-DAFE7CAD07CF}"/>
  </w:font>
  <w:font w:name="Calibri">
    <w:panose1 w:val="020F0502020204030204"/>
    <w:charset w:val="00"/>
    <w:family w:val="swiss"/>
    <w:pitch w:val="variable"/>
    <w:sig w:usb0="A00002EF" w:usb1="4000207B" w:usb2="00000000" w:usb3="00000000" w:csb0="0000009F" w:csb1="00000000"/>
    <w:embedRegular r:id="rId3" w:fontKey="{42DBB8DE-9DEF-4636-A8B4-ADC0D937827F}"/>
  </w:font>
  <w:font w:name="Cambria">
    <w:panose1 w:val="02040503050406030204"/>
    <w:charset w:val="00"/>
    <w:family w:val="roman"/>
    <w:pitch w:val="variable"/>
    <w:sig w:usb0="A00002EF" w:usb1="4000004B" w:usb2="00000000" w:usb3="00000000" w:csb0="0000009F" w:csb1="00000000"/>
    <w:embedRegular r:id="rId4" w:fontKey="{B063C7F8-AA40-4B5A-B824-9338324706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A96" w:rsidRPr="00E0261F" w:rsidRDefault="00E0261F" w:rsidP="00E0261F">
    <w:pPr>
      <w:pStyle w:val="Footer"/>
      <w:tabs>
        <w:tab w:val="clear" w:pos="4680"/>
        <w:tab w:val="clear" w:pos="9360"/>
        <w:tab w:val="center" w:pos="2995"/>
      </w:tabs>
      <w:spacing w:before="120"/>
    </w:pPr>
    <w:r>
      <w:t>[1065</w:t>
    </w:r>
    <w:r w:rsidR="00353799">
      <w:t>-</w:t>
    </w:r>
    <w:fldSimple w:instr=" PAGE  \* MERGEFORMAT ">
      <w:r w:rsidR="002D6568">
        <w:rPr>
          <w:noProof/>
        </w:rPr>
        <w:t>1</w:t>
      </w:r>
    </w:fldSimple>
    <w:r w:rsidR="003537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799" w:rsidRPr="00E0261F" w:rsidRDefault="00353799" w:rsidP="00E0261F">
    <w:pPr>
      <w:pStyle w:val="Footer"/>
      <w:tabs>
        <w:tab w:val="clear" w:pos="4680"/>
        <w:tab w:val="clear" w:pos="9360"/>
        <w:tab w:val="center" w:pos="2995"/>
      </w:tabs>
      <w:spacing w:before="120"/>
    </w:pPr>
    <w:r>
      <w:t>[1065]</w:t>
    </w:r>
    <w:r>
      <w:tab/>
    </w:r>
    <w:fldSimple w:instr=" PAGE  \* MERGEFORMAT ">
      <w:r w:rsidR="002D65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030" w:rsidRDefault="008B2030" w:rsidP="00522CE0">
      <w:r>
        <w:separator/>
      </w:r>
    </w:p>
  </w:footnote>
  <w:footnote w:type="continuationSeparator" w:id="0">
    <w:p w:rsidR="008B2030" w:rsidRDefault="008B203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DEFP.KMM.RWH"/>
    <w:docVar w:name="CoverAttorneyInitials" w:val="KMM"/>
    <w:docVar w:name="CoverAttorneyLastName" w:val="Moffitt"/>
    <w:docVar w:name="CoverBillType" w:val="b"/>
    <w:docVar w:name="CoverSenator" w:val="RWH"/>
    <w:docVar w:name="dvBillNumber" w:val="1065"/>
    <w:docVar w:name="dvBillNumberPrefix" w:val="S. "/>
    <w:docVar w:name="dvOriginalBody" w:val="Senate"/>
    <w:docVar w:name="fulldraftpath" w:val="L:\S-RES\RWH\004DEFP.KMM.RWH.DOCX"/>
    <w:docVar w:name="NameofBody" w:val="S"/>
    <w:docVar w:name="vgroup2" w:val="S-RES"/>
  </w:docVars>
  <w:rsids>
    <w:rsidRoot w:val="009E2CF1"/>
    <w:rsid w:val="000009AA"/>
    <w:rsid w:val="00042AC1"/>
    <w:rsid w:val="00046516"/>
    <w:rsid w:val="00064EC9"/>
    <w:rsid w:val="0007601D"/>
    <w:rsid w:val="000B0720"/>
    <w:rsid w:val="000B5EAF"/>
    <w:rsid w:val="00170561"/>
    <w:rsid w:val="00186AC9"/>
    <w:rsid w:val="00197DF1"/>
    <w:rsid w:val="001B3DD9"/>
    <w:rsid w:val="001B7E5D"/>
    <w:rsid w:val="001D3BAC"/>
    <w:rsid w:val="00245C4E"/>
    <w:rsid w:val="002752C2"/>
    <w:rsid w:val="002C1321"/>
    <w:rsid w:val="002C5896"/>
    <w:rsid w:val="002D3BED"/>
    <w:rsid w:val="002D6568"/>
    <w:rsid w:val="00307C2B"/>
    <w:rsid w:val="00353799"/>
    <w:rsid w:val="00383247"/>
    <w:rsid w:val="003B4E1E"/>
    <w:rsid w:val="003D6E2B"/>
    <w:rsid w:val="003D747A"/>
    <w:rsid w:val="003E53D5"/>
    <w:rsid w:val="003E7597"/>
    <w:rsid w:val="00450668"/>
    <w:rsid w:val="00475755"/>
    <w:rsid w:val="004952FA"/>
    <w:rsid w:val="004B6A22"/>
    <w:rsid w:val="004D7F37"/>
    <w:rsid w:val="004F564C"/>
    <w:rsid w:val="00522CE0"/>
    <w:rsid w:val="00565148"/>
    <w:rsid w:val="00593361"/>
    <w:rsid w:val="005A5017"/>
    <w:rsid w:val="005A648C"/>
    <w:rsid w:val="005F1745"/>
    <w:rsid w:val="00655648"/>
    <w:rsid w:val="006C74EA"/>
    <w:rsid w:val="006D112A"/>
    <w:rsid w:val="00720D40"/>
    <w:rsid w:val="00730B82"/>
    <w:rsid w:val="007318D4"/>
    <w:rsid w:val="00760476"/>
    <w:rsid w:val="00765784"/>
    <w:rsid w:val="007A4390"/>
    <w:rsid w:val="007E4902"/>
    <w:rsid w:val="007E534C"/>
    <w:rsid w:val="007E5CB7"/>
    <w:rsid w:val="008314D2"/>
    <w:rsid w:val="00845D75"/>
    <w:rsid w:val="00855A9B"/>
    <w:rsid w:val="008B2030"/>
    <w:rsid w:val="008B2F42"/>
    <w:rsid w:val="008D7474"/>
    <w:rsid w:val="008E185F"/>
    <w:rsid w:val="008F023B"/>
    <w:rsid w:val="00904E16"/>
    <w:rsid w:val="009162B3"/>
    <w:rsid w:val="00927C62"/>
    <w:rsid w:val="00983951"/>
    <w:rsid w:val="00984124"/>
    <w:rsid w:val="00984640"/>
    <w:rsid w:val="00995C37"/>
    <w:rsid w:val="009C118A"/>
    <w:rsid w:val="009E2CF1"/>
    <w:rsid w:val="00A02011"/>
    <w:rsid w:val="00A4011E"/>
    <w:rsid w:val="00A549EC"/>
    <w:rsid w:val="00A653CF"/>
    <w:rsid w:val="00A86015"/>
    <w:rsid w:val="00A9594E"/>
    <w:rsid w:val="00AC282D"/>
    <w:rsid w:val="00AE59C8"/>
    <w:rsid w:val="00B10098"/>
    <w:rsid w:val="00B12D9E"/>
    <w:rsid w:val="00B42A96"/>
    <w:rsid w:val="00B5790D"/>
    <w:rsid w:val="00B945C5"/>
    <w:rsid w:val="00BA20EA"/>
    <w:rsid w:val="00BB5AFC"/>
    <w:rsid w:val="00BC0A56"/>
    <w:rsid w:val="00C45366"/>
    <w:rsid w:val="00C57023"/>
    <w:rsid w:val="00C74052"/>
    <w:rsid w:val="00CB187A"/>
    <w:rsid w:val="00CC0EC7"/>
    <w:rsid w:val="00CE2D21"/>
    <w:rsid w:val="00D1088B"/>
    <w:rsid w:val="00D156D2"/>
    <w:rsid w:val="00D56CE2"/>
    <w:rsid w:val="00D86943"/>
    <w:rsid w:val="00D925D1"/>
    <w:rsid w:val="00DA47B9"/>
    <w:rsid w:val="00DB1446"/>
    <w:rsid w:val="00E0261F"/>
    <w:rsid w:val="00E058D3"/>
    <w:rsid w:val="00E76AD9"/>
    <w:rsid w:val="00E81828"/>
    <w:rsid w:val="00E91E2F"/>
    <w:rsid w:val="00EA3546"/>
    <w:rsid w:val="00EB47AE"/>
    <w:rsid w:val="00EC34E1"/>
    <w:rsid w:val="00EE5CDE"/>
    <w:rsid w:val="00F0234A"/>
    <w:rsid w:val="00F41952"/>
    <w:rsid w:val="00F52959"/>
    <w:rsid w:val="00F55884"/>
    <w:rsid w:val="00FC0D36"/>
    <w:rsid w:val="00FC6FE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2010-02-17T20:18:00Z</cp:lastPrinted>
  <dcterms:created xsi:type="dcterms:W3CDTF">2010-02-17T22:37:00Z</dcterms:created>
  <dcterms:modified xsi:type="dcterms:W3CDTF">2010-02-17T22:37:00Z</dcterms:modified>
</cp:coreProperties>
</file>