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5, 2009</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02335E" w:rsidRDefault="0002335E" w:rsidP="0002335E">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277</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Alexander</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5/5/09--S.</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15, 2009.</w:t>
      </w: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BANKING AND INSURANCE</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277) to amend Chapter 15, Title 29 of the 1976 Code of Laws, by adding Section 29</w:t>
      </w:r>
      <w:r>
        <w:rPr>
          <w:rFonts w:eastAsia="Times New Roman" w:cs="Times New Roman"/>
        </w:rPr>
        <w:noBreakHyphen/>
        <w:t>15</w:t>
      </w:r>
      <w:r>
        <w:rPr>
          <w:rFonts w:eastAsia="Times New Roman" w:cs="Times New Roman"/>
        </w:rPr>
        <w:noBreakHyphen/>
        <w:t>15, to provide that certain liens obtained by a homeowners’ association, etc., respectfully</w:t>
      </w: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E96EE4">
        <w:rPr>
          <w:rFonts w:eastAsia="Times New Roman" w:cs="Times New Roman"/>
          <w:snapToGrid w:val="0"/>
          <w:szCs w:val="20"/>
        </w:rPr>
        <w:tab/>
        <w:t>Amend the bill as and if amended, by deleting all after the enacting words and inserting:</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snapToGrid w:val="0"/>
          <w:szCs w:val="20"/>
        </w:rPr>
        <w:tab/>
      </w:r>
      <w:r w:rsidRPr="00E96EE4">
        <w:rPr>
          <w:rFonts w:eastAsia="Times New Roman" w:cs="Times New Roman"/>
          <w:snapToGrid w:val="0"/>
          <w:szCs w:val="20"/>
        </w:rPr>
        <w:t>/  SECTION</w:t>
      </w:r>
      <w:r w:rsidRPr="00E96EE4">
        <w:rPr>
          <w:rFonts w:eastAsia="Times New Roman" w:cs="Times New Roman"/>
          <w:snapToGrid w:val="0"/>
          <w:szCs w:val="20"/>
        </w:rPr>
        <w:tab/>
        <w:t>1.</w:t>
      </w:r>
      <w:r w:rsidRPr="00E96EE4">
        <w:rPr>
          <w:rFonts w:eastAsia="Times New Roman" w:cs="Times New Roman"/>
          <w:snapToGrid w:val="0"/>
          <w:szCs w:val="20"/>
        </w:rPr>
        <w:tab/>
      </w:r>
      <w:r w:rsidRPr="00E96EE4">
        <w:rPr>
          <w:rFonts w:eastAsia="Times New Roman" w:cs="Times New Roman"/>
          <w:u w:color="000000" w:themeColor="text1"/>
        </w:rPr>
        <w:t>Chapter 15, Title 29 of the 1976 Code is amended by adding:</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t>“Section 29</w:t>
      </w:r>
      <w:r w:rsidRPr="00E96EE4">
        <w:rPr>
          <w:rFonts w:eastAsia="Times New Roman" w:cs="Times New Roman"/>
          <w:u w:color="000000" w:themeColor="text1"/>
        </w:rPr>
        <w:noBreakHyphen/>
        <w:t>15</w:t>
      </w:r>
      <w:r w:rsidRPr="00E96EE4">
        <w:rPr>
          <w:rFonts w:eastAsia="Times New Roman" w:cs="Times New Roman"/>
          <w:u w:color="000000" w:themeColor="text1"/>
        </w:rPr>
        <w:noBreakHyphen/>
        <w:t>15.</w:t>
      </w:r>
      <w:r w:rsidRPr="00E96EE4">
        <w:rPr>
          <w:rFonts w:eastAsia="Times New Roman" w:cs="Times New Roman"/>
          <w:u w:color="000000" w:themeColor="text1"/>
        </w:rPr>
        <w:tab/>
        <w:t>(A)</w:t>
      </w:r>
      <w:r w:rsidRPr="00E96EE4">
        <w:rPr>
          <w:rFonts w:eastAsia="Times New Roman" w:cs="Times New Roman"/>
          <w:u w:color="000000" w:themeColor="text1"/>
        </w:rPr>
        <w:tab/>
        <w:t>A judgment lien obtained by a homeowners’ association against real property subject to the association’s covenants or other governing agreement may not be extinguished by a tax sale.</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t>(B)</w:t>
      </w:r>
      <w:r w:rsidRPr="00E96EE4">
        <w:rPr>
          <w:rFonts w:eastAsia="Times New Roman" w:cs="Times New Roman"/>
          <w:u w:color="000000" w:themeColor="text1"/>
        </w:rPr>
        <w:tab/>
        <w:t>A judgment lien under this section is enforceable when recorded in the county where the property is situated.</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t>(C)(1)</w:t>
      </w:r>
      <w:r w:rsidRPr="00E96EE4">
        <w:rPr>
          <w:rFonts w:eastAsia="Times New Roman" w:cs="Times New Roman"/>
          <w:u w:color="000000" w:themeColor="text1"/>
        </w:rPr>
        <w:tab/>
        <w:t>When an attempt to sell real property at a tax sale is unsuccessful and the property is transferred to the Forfeited Land Commission in the county where the real property is situated, the commission or county may not be assessed a fee or other financial obligation by a homeowners’ association of which the real property is a part.</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r>
      <w:r w:rsidRPr="00E96EE4">
        <w:rPr>
          <w:rFonts w:eastAsia="Times New Roman" w:cs="Times New Roman"/>
          <w:u w:color="000000" w:themeColor="text1"/>
        </w:rPr>
        <w:tab/>
        <w:t>(2)</w:t>
      </w:r>
      <w:r w:rsidRPr="00E96EE4">
        <w:rPr>
          <w:rFonts w:eastAsia="Times New Roman" w:cs="Times New Roman"/>
          <w:u w:color="000000" w:themeColor="text1"/>
        </w:rPr>
        <w:tab/>
        <w:t xml:space="preserve">During the time the commission holds the property, the homeowners’ associations shall maintain a record of the accrual of unpaid fees or other financial obligations associated with the property and monthly shall provide this report to the commission.  The homeowners’ association may collect these accrued fees or </w:t>
      </w:r>
      <w:r w:rsidRPr="00E96EE4">
        <w:rPr>
          <w:rFonts w:eastAsia="Times New Roman" w:cs="Times New Roman"/>
          <w:u w:color="000000" w:themeColor="text1"/>
        </w:rPr>
        <w:lastRenderedPageBreak/>
        <w:t>other financial obligations from a party to which the commission transfers the property.</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sidRPr="00E96EE4">
        <w:rPr>
          <w:rFonts w:eastAsia="Times New Roman" w:cs="Times New Roman"/>
          <w:u w:color="000000" w:themeColor="text1"/>
        </w:rPr>
        <w:tab/>
      </w:r>
      <w:r w:rsidRPr="00E96EE4">
        <w:rPr>
          <w:rFonts w:eastAsia="Times New Roman" w:cs="Times New Roman"/>
          <w:u w:color="000000" w:themeColor="text1"/>
        </w:rPr>
        <w:tab/>
        <w:t>(3)</w:t>
      </w:r>
      <w:r w:rsidRPr="00E96EE4">
        <w:rPr>
          <w:rFonts w:eastAsia="Times New Roman" w:cs="Times New Roman"/>
          <w:u w:color="000000" w:themeColor="text1"/>
        </w:rPr>
        <w:tab/>
        <w:t>Prior to transferring the property from the commission to another party, the commission has an affirmative duty to disclose these accrued, unpaid fees and financial obligations to this party or the commission is liable for the accrued fees and other financial obligations.”</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u w:color="000000" w:themeColor="text1"/>
        </w:rPr>
      </w:pPr>
      <w:r>
        <w:rPr>
          <w:rFonts w:eastAsia="Times New Roman" w:cs="Times New Roman"/>
          <w:u w:color="000000" w:themeColor="text1"/>
        </w:rPr>
        <w:tab/>
      </w:r>
      <w:r w:rsidRPr="00E96EE4">
        <w:rPr>
          <w:rFonts w:eastAsia="Times New Roman" w:cs="Times New Roman"/>
          <w:u w:color="000000" w:themeColor="text1"/>
        </w:rPr>
        <w:t>SECTION</w:t>
      </w:r>
      <w:r w:rsidRPr="00E96EE4">
        <w:rPr>
          <w:rFonts w:eastAsia="Times New Roman" w:cs="Times New Roman"/>
          <w:u w:color="000000" w:themeColor="text1"/>
        </w:rPr>
        <w:tab/>
        <w:t>2.</w:t>
      </w:r>
      <w:r w:rsidRPr="00E96EE4">
        <w:rPr>
          <w:rFonts w:eastAsia="Times New Roman" w:cs="Times New Roman"/>
          <w:u w:color="000000" w:themeColor="text1"/>
        </w:rPr>
        <w:tab/>
        <w:t>This act takes effect upon approval by the Governor.  /</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E96EE4">
        <w:rPr>
          <w:rFonts w:eastAsia="Times New Roman" w:cs="Times New Roman"/>
          <w:snapToGrid w:val="0"/>
          <w:szCs w:val="20"/>
        </w:rPr>
        <w:tab/>
        <w:t>Renumber sections to conform.</w:t>
      </w:r>
    </w:p>
    <w:p w:rsid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E96EE4">
        <w:rPr>
          <w:rFonts w:eastAsia="Times New Roman" w:cs="Times New Roman"/>
          <w:snapToGrid w:val="0"/>
          <w:szCs w:val="20"/>
        </w:rPr>
        <w:tab/>
        <w:t>Amend title to conform.</w:t>
      </w:r>
    </w:p>
    <w:p w:rsidR="0002335E" w:rsidRPr="00E96EE4"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DAVID L. THOMAS for Committee.</w:t>
      </w: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Pr="0002335E"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07955">
        <w:t>ESTIMATED FISCAL IMPACT ON GENERAL FUND EXPENDITURES:</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A07955">
        <w:t>$0 (No additional expenditures or savings are expected)</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07955">
        <w:t>ESTIMATED FISCAL IMPACT ON FEDERAL &amp; OTHER FUND EXPENDITURES:</w:t>
      </w:r>
    </w:p>
    <w:p w:rsidR="0002335E" w:rsidRPr="00A07955" w:rsidRDefault="0002335E" w:rsidP="0002335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A07955">
        <w:t>$0 (No additional expenditures or savings are expected)</w:t>
      </w:r>
      <w:bookmarkStart w:id="2" w:name="c"/>
      <w:bookmarkEnd w:id="2"/>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07955">
        <w:rPr>
          <w:b/>
        </w:rPr>
        <w:t>EXPLANATION OF IMPACT:</w:t>
      </w:r>
    </w:p>
    <w:p w:rsidR="0002335E" w:rsidRPr="00A07955" w:rsidRDefault="0002335E" w:rsidP="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A07955">
        <w:t xml:space="preserve">The Judicial Department indicates this </w:t>
      </w:r>
      <w:r>
        <w:t>b</w:t>
      </w:r>
      <w:r w:rsidRPr="00A07955">
        <w:t>ill will have no fiscal impact on the General Fund of the State, nor on</w:t>
      </w:r>
      <w:r>
        <w:t xml:space="preserve"> </w:t>
      </w:r>
      <w:r w:rsidRPr="00A07955">
        <w:t xml:space="preserve">federal and/or </w:t>
      </w:r>
      <w:r>
        <w:t>o</w:t>
      </w:r>
      <w:r w:rsidRPr="00A07955">
        <w:t xml:space="preserve">ther </w:t>
      </w:r>
      <w:r>
        <w:t>f</w:t>
      </w:r>
      <w:r w:rsidRPr="00A07955">
        <w:t>unds.</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rsidP="0002335E">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02335E" w:rsidRDefault="0002335E" w:rsidP="0002335E">
      <w:pPr>
        <w:tabs>
          <w:tab w:val="left" w:pos="3024"/>
        </w:tabs>
        <w:suppressAutoHyphens/>
        <w:rPr>
          <w:rFonts w:eastAsia="Times New Roman" w:cs="Times New Roman"/>
        </w:rPr>
      </w:pPr>
      <w:r>
        <w:rPr>
          <w:rFonts w:eastAsia="Times New Roman" w:cs="Times New Roman"/>
        </w:rPr>
        <w:tab/>
        <w:t>Harry Bell</w:t>
      </w:r>
    </w:p>
    <w:p w:rsidR="0002335E" w:rsidRPr="0002335E" w:rsidRDefault="0002335E" w:rsidP="0002335E">
      <w:pPr>
        <w:tabs>
          <w:tab w:val="left" w:pos="3024"/>
        </w:tabs>
        <w:suppressAutoHyphens/>
        <w:rPr>
          <w:rFonts w:eastAsia="Times New Roman" w:cs="Times New Roman"/>
        </w:rPr>
      </w:pPr>
      <w:r>
        <w:rPr>
          <w:rFonts w:eastAsia="Times New Roman" w:cs="Times New Roman"/>
        </w:rPr>
        <w:tab/>
        <w:t>Office of State Budget</w:t>
      </w: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335E"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02335E" w:rsidSect="0002335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CHAPTER 15, TITLE 29 OF THE 1976 CODE OF LAWS, BY ADDING SECTION 29</w:t>
      </w:r>
      <w:r>
        <w:rPr>
          <w:rFonts w:eastAsia="Times New Roman" w:cs="Times New Roman"/>
        </w:rPr>
        <w:noBreakHyphen/>
        <w:t>15</w:t>
      </w:r>
      <w:r>
        <w:rPr>
          <w:rFonts w:eastAsia="Times New Roman" w:cs="Times New Roman"/>
        </w:rPr>
        <w:noBreakHyphen/>
        <w:t>15, TO PROVIDE THAT CERTAIN LIENS OBTAINED BY A HOMEOWNERS’ ASSOCIATION AGAINST REAL PROPERTY ARE SUPERIOR TO CLAIMS OF OTHER CREDITORS.</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Chapter 15, Title 29 of the 1976 Code is amended by adding:</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“Section 29</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noBreakHyphen/>
        <w:t>15.</w:t>
      </w:r>
      <w:r>
        <w:rPr>
          <w:rFonts w:eastAsia="Times New Roman" w:cs="Times New Roman"/>
          <w:color w:val="000000" w:themeColor="text1"/>
          <w:u w:color="000000" w:themeColor="text1"/>
        </w:rPr>
        <w:tab/>
        <w:t>(A)</w:t>
      </w:r>
      <w:r>
        <w:rPr>
          <w:rFonts w:eastAsia="Times New Roman" w:cs="Times New Roman"/>
          <w:color w:val="000000" w:themeColor="text1"/>
          <w:u w:color="000000" w:themeColor="text1"/>
        </w:rPr>
        <w:tab/>
        <w:t>A judgment lien obtained by a homeowners’ association against real property subject to the association’s covenants or other governing agreement is:</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t xml:space="preserve">superior to all claims of creditors against the property if the judgment lien arose from an unsatisfied assessment or other obligation of the property owner to the association under the association’s covenants; and </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appurtenant to the subject real property.</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(B)</w:t>
      </w:r>
      <w:r>
        <w:rPr>
          <w:rFonts w:eastAsia="Times New Roman" w:cs="Times New Roman"/>
          <w:color w:val="000000" w:themeColor="text1"/>
          <w:u w:color="000000" w:themeColor="text1"/>
        </w:rPr>
        <w:tab/>
        <w:t>Proceeds from the property’s sale first must be used to satisfy the association’s judgment lien.  Remaining funds may be used to satisfy other liens against the property based on priority.</w:t>
      </w: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ab/>
        <w:t>(C)</w:t>
      </w:r>
      <w:r>
        <w:rPr>
          <w:rFonts w:eastAsia="Times New Roman" w:cs="Times New Roman"/>
          <w:color w:val="000000" w:themeColor="text1"/>
          <w:u w:color="000000" w:themeColor="text1"/>
        </w:rPr>
        <w:tab/>
        <w:t>A judgment lien under this section is enforceable when recorded in the county where the property is situated.”</w:t>
      </w:r>
    </w:p>
    <w:p w:rsidR="00E43B77" w:rsidRDefault="00E4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E43B77" w:rsidRDefault="00023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E43B77" w:rsidRDefault="0002335E" w:rsidP="00505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43B77" w:rsidSect="0002335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B77" w:rsidRPr="00115572" w:rsidRDefault="00E43B77" w:rsidP="00E43B77">
      <w:pPr>
        <w:pStyle w:val="PlainText"/>
        <w:rPr>
          <w:szCs w:val="22"/>
        </w:rPr>
      </w:pPr>
      <w:r>
        <w:separator/>
      </w:r>
    </w:p>
  </w:endnote>
  <w:endnote w:type="continuationSeparator" w:id="1">
    <w:p w:rsidR="00E43B77" w:rsidRPr="00115572" w:rsidRDefault="00E43B77" w:rsidP="00E43B77">
      <w:pPr>
        <w:pStyle w:val="PlainText"/>
        <w:rPr>
          <w:szCs w:val="2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4616BD-9D67-45C0-99F2-F9B7DF411EEB}"/>
    <w:embedBold r:id="rId2" w:fontKey="{56DF50DC-36E4-457C-A0A2-2702D2DC928D}"/>
    <w:embedItalic r:id="rId3" w:fontKey="{2BDD4E17-2561-4620-A61A-78478928EC6E}"/>
  </w:font>
  <w:font w:name="Calibri">
    <w:panose1 w:val="020F0502020204030204"/>
    <w:charset w:val="00"/>
    <w:family w:val="swiss"/>
    <w:pitch w:val="variable"/>
    <w:sig w:usb0="A00002EF" w:usb1="4000207B" w:usb2="00000000" w:usb3="00000000" w:csb0="0000009F" w:csb1="00000000"/>
    <w:embedRegular r:id="rId4" w:fontKey="{32830018-211D-4B16-BE3D-44AFF26D77C7}"/>
    <w:embedBold r:id="rId5" w:fontKey="{453CEE00-BD2E-409D-BF8E-4A3A0891952A}"/>
  </w:font>
  <w:font w:name="Tahoma">
    <w:panose1 w:val="020B0604030504040204"/>
    <w:charset w:val="00"/>
    <w:family w:val="swiss"/>
    <w:pitch w:val="variable"/>
    <w:sig w:usb0="61002A87" w:usb1="80000000" w:usb2="00000008" w:usb3="00000000" w:csb0="000101FF" w:csb1="00000000"/>
    <w:embedRegular r:id="rId6" w:fontKey="{CC2A735A-E15F-41AE-8CF8-9BBE55D1CB3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1418DD30-6BA2-4C15-AA86-4014CE4B5C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3B77" w:rsidRDefault="0002335E">
    <w:pPr>
      <w:pStyle w:val="Footer"/>
      <w:tabs>
        <w:tab w:val="clear" w:pos="4680"/>
        <w:tab w:val="clear" w:pos="9360"/>
        <w:tab w:val="center" w:pos="2995"/>
      </w:tabs>
      <w:spacing w:before="120"/>
    </w:pPr>
    <w:r>
      <w:t>[277-</w:t>
    </w:r>
    <w:fldSimple w:instr=" PAGE  \* MERGEFORMAT ">
      <w:r w:rsidR="005051CB">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35E" w:rsidRDefault="0002335E">
    <w:pPr>
      <w:pStyle w:val="Footer"/>
      <w:tabs>
        <w:tab w:val="clear" w:pos="4680"/>
        <w:tab w:val="clear" w:pos="9360"/>
        <w:tab w:val="center" w:pos="2995"/>
      </w:tabs>
      <w:spacing w:before="120"/>
    </w:pPr>
    <w:r>
      <w:t>[277]</w:t>
    </w:r>
    <w:r>
      <w:tab/>
    </w:r>
    <w:fldSimple w:instr=" PAGE  \* MERGEFORMAT ">
      <w:r w:rsidR="005051C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B77" w:rsidRPr="00115572" w:rsidRDefault="00E43B77" w:rsidP="00E43B77">
      <w:pPr>
        <w:pStyle w:val="PlainText"/>
        <w:rPr>
          <w:szCs w:val="22"/>
        </w:rPr>
      </w:pPr>
      <w:r>
        <w:separator/>
      </w:r>
    </w:p>
  </w:footnote>
  <w:footnote w:type="continuationSeparator" w:id="1">
    <w:p w:rsidR="00E43B77" w:rsidRPr="00115572" w:rsidRDefault="00E43B77" w:rsidP="00E43B77">
      <w:pPr>
        <w:pStyle w:val="PlainText"/>
        <w:rPr>
          <w:szCs w:val="22"/>
        </w:rPr>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43B77"/>
    <w:rsid w:val="0002335E"/>
    <w:rsid w:val="005051CB"/>
    <w:rsid w:val="00665149"/>
    <w:rsid w:val="0072170C"/>
    <w:rsid w:val="00E43B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43B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43B77"/>
    <w:rPr>
      <w:szCs w:val="21"/>
    </w:rPr>
  </w:style>
  <w:style w:type="character" w:customStyle="1" w:styleId="PlainTextChar">
    <w:name w:val="Plain Text Char"/>
    <w:basedOn w:val="DefaultParagraphFont"/>
    <w:link w:val="PlainText"/>
    <w:uiPriority w:val="99"/>
    <w:rsid w:val="00E43B77"/>
    <w:rPr>
      <w:szCs w:val="21"/>
    </w:rPr>
  </w:style>
  <w:style w:type="paragraph" w:styleId="BodyText">
    <w:name w:val="Body Text"/>
    <w:basedOn w:val="Normal"/>
    <w:link w:val="BodyTextChar"/>
    <w:uiPriority w:val="99"/>
    <w:locked/>
    <w:rsid w:val="00E43B77"/>
  </w:style>
  <w:style w:type="character" w:customStyle="1" w:styleId="BodyTextChar">
    <w:name w:val="Body Text Char"/>
    <w:basedOn w:val="DefaultParagraphFont"/>
    <w:link w:val="BodyText"/>
    <w:uiPriority w:val="99"/>
    <w:rsid w:val="00E43B77"/>
  </w:style>
  <w:style w:type="paragraph" w:styleId="BalloonText">
    <w:name w:val="Balloon Text"/>
    <w:next w:val="Normal"/>
    <w:link w:val="BalloonTextChar"/>
    <w:uiPriority w:val="99"/>
    <w:unhideWhenUsed/>
    <w:rsid w:val="00E43B77"/>
    <w:rPr>
      <w:rFonts w:cs="Tahoma"/>
      <w:szCs w:val="16"/>
    </w:rPr>
  </w:style>
  <w:style w:type="character" w:customStyle="1" w:styleId="BalloonTextChar">
    <w:name w:val="Balloon Text Char"/>
    <w:basedOn w:val="DefaultParagraphFont"/>
    <w:link w:val="BalloonText"/>
    <w:uiPriority w:val="99"/>
    <w:rsid w:val="00E43B77"/>
    <w:rPr>
      <w:rFonts w:cs="Tahoma"/>
      <w:szCs w:val="16"/>
    </w:rPr>
  </w:style>
  <w:style w:type="paragraph" w:styleId="NormalWeb">
    <w:name w:val="Normal (Web)"/>
    <w:basedOn w:val="Normal"/>
    <w:next w:val="Normal"/>
    <w:semiHidden/>
    <w:locked/>
    <w:rsid w:val="00E43B77"/>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43B77"/>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43B77"/>
    <w:rPr>
      <w:rFonts w:cs="Times New Roman"/>
    </w:rPr>
  </w:style>
  <w:style w:type="character" w:styleId="LineNumber">
    <w:name w:val="line number"/>
    <w:basedOn w:val="DefaultParagraphFont"/>
    <w:uiPriority w:val="99"/>
    <w:semiHidden/>
    <w:unhideWhenUsed/>
    <w:locked/>
    <w:rsid w:val="0002335E"/>
  </w:style>
  <w:style w:type="paragraph" w:styleId="Header">
    <w:name w:val="header"/>
    <w:basedOn w:val="Normal"/>
    <w:link w:val="HeaderChar"/>
    <w:unhideWhenUsed/>
    <w:locked/>
    <w:rsid w:val="0002335E"/>
    <w:pPr>
      <w:tabs>
        <w:tab w:val="center" w:pos="4680"/>
        <w:tab w:val="right" w:pos="9360"/>
      </w:tabs>
    </w:pPr>
  </w:style>
  <w:style w:type="character" w:customStyle="1" w:styleId="HeaderChar">
    <w:name w:val="Header Char"/>
    <w:basedOn w:val="DefaultParagraphFont"/>
    <w:link w:val="Header"/>
    <w:rsid w:val="0002335E"/>
  </w:style>
  <w:style w:type="character" w:styleId="FollowedHyperlink">
    <w:name w:val="FollowedHyperlink"/>
    <w:basedOn w:val="DefaultParagraphFont"/>
    <w:uiPriority w:val="99"/>
    <w:semiHidden/>
    <w:unhideWhenUsed/>
    <w:locked/>
    <w:rsid w:val="006651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3256</Characters>
  <Application>Microsoft Office Word</Application>
  <DocSecurity>0</DocSecurity>
  <Lines>116</Lines>
  <Paragraphs>51</Paragraphs>
  <ScaleCrop>false</ScaleCrop>
  <Company>Project Management</Company>
  <LinksUpToDate>false</LinksUpToDate>
  <CharactersWithSpaces>3834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2009-05-05T18:24:00Z</dcterms:created>
  <dcterms:modified xsi:type="dcterms:W3CDTF">2009-05-05T18:24:00Z</dcterms:modified>
</cp:coreProperties>
</file>