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22</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w:t>
      </w:r>
      <w:r>
        <w:rPr>
          <w:rFonts w:eastAsia="Times New Roman" w:cs="Times New Roman"/>
          <w:bCs/>
          <w:color w:val="000000" w:themeColor="text1"/>
          <w:szCs w:val="20"/>
          <w:u w:color="000000" w:themeColor="text1"/>
        </w:rPr>
        <w:t>ection 22</w:t>
      </w:r>
      <w:r>
        <w:rPr>
          <w:rFonts w:eastAsia="Times New Roman" w:cs="Times New Roman"/>
          <w:bCs/>
          <w:color w:val="000000" w:themeColor="text1"/>
          <w:szCs w:val="20"/>
          <w:u w:color="000000" w:themeColor="text1"/>
        </w:rPr>
        <w:noBreakHyphen/>
        <w:t>3</w:t>
      </w:r>
      <w:r>
        <w:rPr>
          <w:rFonts w:eastAsia="Times New Roman" w:cs="Times New Roman"/>
          <w:bCs/>
          <w:color w:val="000000" w:themeColor="text1"/>
          <w:szCs w:val="20"/>
          <w:u w:color="000000" w:themeColor="text1"/>
        </w:rPr>
        <w:noBreakHyphen/>
        <w:t>10.</w:t>
      </w: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 xml:space="preserve">Magistrates have concurrent civil jurisdiction in the following cases: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 xml:space="preserve">in actions arising on contracts for the recovery of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 xml:space="preserve">in actions for damages for injury to rights pertaining to the person or personal or real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in actions for a penalty, fine, or forfeiture, when the amount claimed or forfeited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 xml:space="preserve">in actions commenced by attachment of property, as provided by statute, if the debt or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(5)</w:t>
      </w:r>
      <w:r>
        <w:rPr>
          <w:rFonts w:eastAsia="Times New Roman" w:cs="Times New Roman"/>
          <w:color w:val="000000" w:themeColor="text1"/>
          <w:szCs w:val="20"/>
          <w:u w:color="000000" w:themeColor="text1"/>
        </w:rPr>
        <w:tab/>
        <w:t xml:space="preserve">in actions upon a bond conditioned for the payment of money, not exceeding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(6)</w:t>
      </w:r>
      <w:r>
        <w:rPr>
          <w:rFonts w:eastAsia="Times New Roman" w:cs="Times New Roman"/>
          <w:color w:val="000000" w:themeColor="text1"/>
          <w:szCs w:val="20"/>
          <w:u w:color="000000" w:themeColor="text1"/>
        </w:rPr>
        <w:tab/>
        <w:t xml:space="preserve">in any action upon a surety bond taken by them, when the penalty or amount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(7)</w:t>
      </w:r>
      <w:r>
        <w:rPr>
          <w:rFonts w:eastAsia="Times New Roman" w:cs="Times New Roman"/>
          <w:color w:val="000000" w:themeColor="text1"/>
          <w:szCs w:val="20"/>
          <w:u w:color="000000" w:themeColor="text1"/>
        </w:rPr>
        <w:tab/>
        <w:t xml:space="preserve">in any action upon a judgment rendered in a court of a magistrate or an inferior court when it is not prohibited by the South Carolina Rules of Civil Procedure;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(8)</w:t>
      </w:r>
      <w:r>
        <w:rPr>
          <w:rFonts w:eastAsia="Times New Roman" w:cs="Times New Roman"/>
          <w:color w:val="000000" w:themeColor="text1"/>
          <w:szCs w:val="20"/>
          <w:u w:color="000000" w:themeColor="text1"/>
        </w:rPr>
        <w:tab/>
        <w:t xml:space="preserve">to take and enter judgment on the confession of a defendant in the manner prescribed by law when the amount confessed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(9)</w:t>
      </w:r>
      <w:r>
        <w:rPr>
          <w:rFonts w:eastAsia="Times New Roman" w:cs="Times New Roman"/>
          <w:color w:val="000000" w:themeColor="text1"/>
          <w:szCs w:val="20"/>
          <w:u w:color="000000" w:themeColor="text1"/>
        </w:rPr>
        <w:tab/>
        <w:t xml:space="preserve">in any action for damages or for fraud in the sale, purchase, or exchange of personal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 xml:space="preserve">in all matters between landlord and tenant and the possession of land as provided in Chapters 33 through 41 of Title 27;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 xml:space="preserve">in all actions provided for in this section when a filed counterclaim involves a sum not to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except that this limitation does not apply to counterclaims filed in matters between landlord and tenant and the possession of 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 xml:space="preserve">in interpleader actions arising from real estate contracts for the recovery of earnest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in actions for damages arising from a person’s failure to return leased or rented personal property within seventy</w:t>
      </w:r>
      <w:r>
        <w:rPr>
          <w:rFonts w:eastAsia="Times New Roman" w:cs="Times New Roman"/>
          <w:color w:val="000000" w:themeColor="text1"/>
          <w:szCs w:val="20"/>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45BB1F-946D-4DF2-B9DB-589BF368E624}"/>
    <w:embedBold r:id="rId2" w:fontKey="{9AB87C80-5F9D-415F-8220-70E577A613F6}"/>
  </w:font>
  <w:font w:name="Calibri">
    <w:panose1 w:val="020F0502020204030204"/>
    <w:charset w:val="00"/>
    <w:family w:val="swiss"/>
    <w:pitch w:val="variable"/>
    <w:sig w:usb0="A00002EF" w:usb1="4000207B" w:usb2="00000000" w:usb3="00000000" w:csb0="0000009F" w:csb1="00000000"/>
    <w:embedRegular r:id="rId3" w:fontKey="{8D9E270E-7FAC-4D1C-9EDA-D8CBFDC4A85C}"/>
  </w:font>
  <w:font w:name="Tahoma">
    <w:panose1 w:val="020B0604030504040204"/>
    <w:charset w:val="00"/>
    <w:family w:val="swiss"/>
    <w:pitch w:val="variable"/>
    <w:sig w:usb0="61002A87" w:usb1="80000000" w:usb2="00000008" w:usb3="00000000" w:csb0="000101FF" w:csb1="00000000"/>
    <w:embedRegular r:id="rId4" w:fontKey="{BFCC7209-5BB7-4AD2-A903-FE9D5AD2592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E8E2E24-9E32-4269-BA30-978AA15F7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544</Words>
  <Characters>3102</Characters>
  <Application>Microsoft Office Word</Application>
  <DocSecurity>0</DocSecurity>
  <Lines>25</Lines>
  <Paragraphs>7</Paragraphs>
  <ScaleCrop>false</ScaleCrop>
  <Company>Project Management</Company>
  <LinksUpToDate>false</LinksUpToDate>
  <CharactersWithSpaces>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2009-01-15T16:43:00Z</dcterms:created>
  <dcterms:modified xsi:type="dcterms:W3CDTF">2009-01-15T16:43:00Z</dcterms:modified>
</cp:coreProperties>
</file>