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rPr>
        <w:t>TO AMEND SECTION 16</w:t>
      </w:r>
      <w:r>
        <w:rPr>
          <w:rFonts w:cs="Times New Roman"/>
          <w:color w:val="000000"/>
        </w:rPr>
        <w:noBreakHyphen/>
        <w:t>3</w:t>
      </w:r>
      <w:r>
        <w:rPr>
          <w:rFonts w:cs="Times New Roman"/>
          <w:color w:val="000000"/>
        </w:rPr>
        <w:noBreakHyphen/>
        <w:t>625, CODE OF LAWS OF SOUTH CAROLINA, 1976, RELATING TO RESISTING ARREST WITH THE USE OR THREAT OF USE OF A DEADLY WEAPON, SO AS TO PROVIDE THAT A PERSON WHO KNOWINGLY AND WILLFULLY COMMITS AN ASSAULT AND BATTERY ON A LAW ENFORCEMENT OFFICER DURING THE LAWFUL DISCHARGE OF THE OFFICER’S OFFICIAL DUTIES, OR WHEN THE OFFENSE IS DIRECTLY RELATED TO THE OFFICER’S OFFICIAL DUTIES, IS GUILTY OF A MISDEMEANOR, AND TO PROVIDE PENALTIES FOR THIS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 xml:space="preserve">1. </w:t>
      </w:r>
      <w:r>
        <w:rPr>
          <w:rFonts w:cs="Times New Roman"/>
          <w:color w:val="000000" w:themeColor="text1"/>
          <w:u w:color="000000" w:themeColor="text1"/>
        </w:rPr>
        <w:t>Section 16</w:t>
      </w:r>
      <w:r>
        <w:rPr>
          <w:rFonts w:cs="Times New Roman"/>
          <w:color w:val="000000" w:themeColor="text1"/>
          <w:u w:color="000000" w:themeColor="text1"/>
        </w:rPr>
        <w:noBreakHyphen/>
        <w:t>3</w:t>
      </w:r>
      <w:r>
        <w:rPr>
          <w:rFonts w:cs="Times New Roman"/>
          <w:color w:val="000000" w:themeColor="text1"/>
          <w:u w:color="000000" w:themeColor="text1"/>
        </w:rPr>
        <w:noBreakHyphen/>
        <w:t>625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t>“Section 16</w:t>
      </w:r>
      <w:r>
        <w:rPr>
          <w:rFonts w:cs="Times New Roman"/>
          <w:color w:val="000000" w:themeColor="text1"/>
          <w:u w:color="000000" w:themeColor="text1"/>
        </w:rPr>
        <w:noBreakHyphen/>
        <w:t>3</w:t>
      </w:r>
      <w:r>
        <w:rPr>
          <w:rFonts w:cs="Times New Roman"/>
          <w:color w:val="000000" w:themeColor="text1"/>
          <w:u w:color="000000" w:themeColor="text1"/>
        </w:rPr>
        <w:noBreakHyphen/>
        <w:t>625.</w:t>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 person who knowingly and willfully commits an assault and battery on a law enforcement officer during the lawful discharge of the officer’s official duties, or when the offense is directly related to the officer’s official duties, is guilty of a misdemeanor and, upon conviction, must be fined not more than one thousand dollars or imprisoned not less than two months nor more than three years, or both.  No person sentenced under this subsection for a second or subsequent offense shall have the sentence suspended to less than six months nor shall the person be eligible for parole until after service of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 xml:space="preserve"> 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nor less than two years.  No sentence imposed hereunder for a first offense shall be suspended to less than six months nor shall the persons so sentenced be eligible for parole until after service of six months.  No person sentenced under this </w:t>
      </w:r>
      <w:r>
        <w:rPr>
          <w:rFonts w:cs="Times New Roman"/>
          <w:strike/>
          <w:color w:val="000000" w:themeColor="text1"/>
          <w:u w:color="000000" w:themeColor="text1"/>
        </w:rPr>
        <w:t>section</w:t>
      </w:r>
      <w:r>
        <w:rPr>
          <w:rFonts w:cs="Times New Roman"/>
          <w:color w:val="000000" w:themeColor="text1"/>
          <w:u w:color="000000" w:themeColor="text1"/>
        </w:rPr>
        <w:t xml:space="preserve"> </w:t>
      </w:r>
      <w:r>
        <w:rPr>
          <w:rFonts w:cs="Times New Roman"/>
          <w:color w:val="000000" w:themeColor="text1"/>
          <w:u w:val="single" w:color="000000" w:themeColor="text1"/>
        </w:rPr>
        <w:t>subsection</w:t>
      </w:r>
      <w:r>
        <w:rPr>
          <w:rFonts w:cs="Times New Roman"/>
          <w:color w:val="000000" w:themeColor="text1"/>
          <w:u w:color="000000" w:themeColor="text1"/>
        </w:rPr>
        <w:t xml:space="preserve"> for a second or subsequent offense shall have the sentence suspended to less than two years nor shall the person be eligible for parole until after service of two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t>As used in this section</w:t>
      </w:r>
      <w:r>
        <w:rPr>
          <w:rFonts w:cs="Times New Roman"/>
          <w:color w:val="000000" w:themeColor="text1"/>
          <w:u w:val="single" w:color="000000" w:themeColor="text1"/>
        </w:rPr>
        <w:t>,</w:t>
      </w:r>
      <w:r>
        <w:rPr>
          <w:rFonts w:cs="Times New Roman"/>
          <w:color w:val="000000" w:themeColor="text1"/>
          <w:u w:color="000000" w:themeColor="text1"/>
        </w:rPr>
        <w:t xml:space="preserve"> ‘deadly weapon’ means any instrument which can be used to inflict deadly force.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(D)</w:t>
      </w:r>
      <w:r>
        <w:rPr>
          <w:rFonts w:cs="Times New Roman"/>
          <w:color w:val="000000" w:themeColor="text1"/>
          <w:u w:color="000000" w:themeColor="text1"/>
        </w:rPr>
        <w:tab/>
        <w:t>This section does not affect or replace the common law crime of assault and battery with intent to kill nor does it apply if the sentencing judge, in his discretion, elects to sentence an eligible defendant under the provisions of the ‘Youthful Offenders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This act takes effect upon approval by the Governor</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4BBA4-C452-4DD9-95C0-80BBE1AF3A84}"/>
    <w:embedBold r:id="rId2" w:fontKey="{AF102C83-FE74-4368-A4E6-BAC37B4C733C}"/>
  </w:font>
  <w:font w:name="Calibri">
    <w:panose1 w:val="020F0502020204030204"/>
    <w:charset w:val="00"/>
    <w:family w:val="swiss"/>
    <w:pitch w:val="variable"/>
    <w:sig w:usb0="A00002EF" w:usb1="4000207B" w:usb2="00000000" w:usb3="00000000" w:csb0="0000009F" w:csb1="00000000"/>
    <w:embedRegular r:id="rId3" w:fontKey="{59DEB354-9AA4-467E-B8CF-397878ECF225}"/>
  </w:font>
  <w:font w:name="Tahoma">
    <w:panose1 w:val="020B0604030504040204"/>
    <w:charset w:val="00"/>
    <w:family w:val="swiss"/>
    <w:pitch w:val="variable"/>
    <w:sig w:usb0="61002A87" w:usb1="80000000" w:usb2="00000008" w:usb3="00000000" w:csb0="000101FF" w:csb1="00000000"/>
    <w:embedRegular r:id="rId4" w:fontKey="{B2FE8925-4618-47B9-9F14-582665AFAD9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82F7E6E-3B9D-4371-89B8-BD195B8FB0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2139</Characters>
  <Application>Microsoft Office Word</Application>
  <DocSecurity>0</DocSecurity>
  <Lines>17</Lines>
  <Paragraphs>5</Paragraphs>
  <ScaleCrop>false</ScaleCrop>
  <Company>Project Management</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2009-01-15T16:58:00Z</dcterms:created>
  <dcterms:modified xsi:type="dcterms:W3CDTF">2009-01-15T16:58:00Z</dcterms:modified>
</cp:coreProperties>
</file>