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205A5" w:rsidRP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9, 2010</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Pr="00B205A5" w:rsidRDefault="00B205A5" w:rsidP="00B205A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and L. Martin</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3/9/10--S.</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B205A5" w:rsidRPr="00B205A5" w:rsidRDefault="00B205A5" w:rsidP="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205A5" w:rsidSect="00B205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11</w:t>
      </w:r>
      <w:r>
        <w:rPr>
          <w:rFonts w:eastAsia="Times New Roman" w:cs="Times New Roman"/>
          <w:szCs w:val="20"/>
        </w:rPr>
        <w:noBreakHyphen/>
        <w:t>11</w:t>
      </w:r>
      <w:r>
        <w:rPr>
          <w:rFonts w:eastAsia="Times New Roman" w:cs="Times New Roman"/>
          <w:szCs w:val="20"/>
        </w:rPr>
        <w:noBreakHyphen/>
        <w:t>410 of the 1976 Code is amended to read: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lastRenderedPageBreak/>
        <w:tab/>
        <w:t>“Section 11</w:t>
      </w:r>
      <w:r>
        <w:rPr>
          <w:rFonts w:cs="Times New Roman"/>
        </w:rPr>
        <w:noBreakHyphen/>
        <w:t>11</w:t>
      </w:r>
      <w:r>
        <w:rPr>
          <w:rFonts w:cs="Times New Roman"/>
        </w:rPr>
        <w:noBreakHyphen/>
        <w:t>410.</w:t>
      </w:r>
      <w:r>
        <w:rPr>
          <w:rFonts w:cs="Times New Roman"/>
        </w:rPr>
        <w:tab/>
        <w:t>(A)</w:t>
      </w:r>
      <w:r>
        <w:rPr>
          <w:rFonts w:cs="Times New Roman"/>
        </w:rPr>
        <w:tab/>
      </w:r>
      <w:r>
        <w:rPr>
          <w:rFonts w:cs="Times New Roman"/>
          <w:strike/>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Pr>
          <w:rFonts w:cs="Times New Roman"/>
          <w:strike/>
        </w:rPr>
        <w:noBreakHyphen/>
        <w:t xml:space="preserve">86 General Appropriation Act;  it being the intent of this section that all additional nonfederal and nonuser fee revenue items must be included in that category as they may be created by act of the General Assembly.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(B)</w:t>
      </w:r>
      <w:r>
        <w:rPr>
          <w:rFonts w:cs="Times New Roman"/>
        </w:rPr>
        <w:tab/>
      </w:r>
      <w:r>
        <w:rPr>
          <w:rFonts w:cs="Times New Roman"/>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rFonts w:cs="Times New Roman"/>
          <w:strike/>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Pr>
          <w:rFonts w:cs="Times New Roman"/>
          <w:strike/>
        </w:rPr>
        <w:noBreakHyphen/>
        <w:t xml:space="preserve">1986 must be used as the base figure for computation of the spending limitation if the average rate of growth method is used.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(C)</w:t>
      </w:r>
      <w:r>
        <w:rPr>
          <w:rFonts w:cs="Times New Roman"/>
        </w:rPr>
        <w:tab/>
      </w:r>
      <w:r>
        <w:rPr>
          <w:rFonts w:cs="Times New Roman"/>
          <w:strike/>
        </w:rPr>
        <w:t xml:space="preserve">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(D)</w:t>
      </w:r>
      <w:r>
        <w:rPr>
          <w:rFonts w:cs="Times New Roman"/>
        </w:rPr>
        <w:tab/>
      </w:r>
      <w:r>
        <w:rPr>
          <w:rFonts w:cs="Times New Roman"/>
          <w:strike/>
        </w:rPr>
        <w:t xml:space="preserve">The Division of Research and Statistical Services of the Budget and Control Board shall annually compute and certify to the General Assembly a current figure to limit appropriations as provided in subsection (B) of this section prior to the Budget and </w:t>
      </w:r>
      <w:r>
        <w:rPr>
          <w:rFonts w:cs="Times New Roman"/>
          <w:strike/>
        </w:rPr>
        <w:lastRenderedPageBreak/>
        <w:t xml:space="preserve">Control Board’s submission of its recommended budget to the House Ways and Means Committee.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(E)</w:t>
      </w:r>
      <w:r>
        <w:rPr>
          <w:rFonts w:cs="Times New Roman"/>
        </w:rPr>
        <w:tab/>
      </w:r>
      <w:r>
        <w:rPr>
          <w:rFonts w:cs="Times New Roman"/>
          <w:strike/>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The special vote referred to in this subsection means an affirmative vote in each branch of the General Assembly by two</w:t>
      </w:r>
      <w:r>
        <w:rPr>
          <w:rFonts w:cs="Times New Roman"/>
          <w:strike/>
        </w:rPr>
        <w:noBreakHyphen/>
        <w:t>thirds of the members present and voting but not less than three</w:t>
      </w:r>
      <w:r>
        <w:rPr>
          <w:rFonts w:cs="Times New Roman"/>
          <w:strike/>
        </w:rPr>
        <w:noBreakHyphen/>
        <w:t xml:space="preserve">fifths of the total membership in each branch.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As used in this section:</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‘Annual limit’ means the total of general fund revenues that may be appropriated in the next state fiscal year.  This annual limit is calculated by adjusting general fund revenues available for appropriation in the current fiscal year by a percentage equal to the average annual percentage change in the total of general fund revenues over the preceding ten completed state fiscal years as calculated by the Board of Economic Advisors.  For purposes of the annual limit, a legislated increase or decrease in general fund revenues as estimated by the BEA must be added to or subtracted from the then applicable annual limit. The general fund revenues of the current fiscal year may include BSF transfers, made pursuant to subsection (C)(1) of this section.</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‘BEA’ means the Board of Economic Advisors established pursuant to Article 9, Chapter 9 of Title 11, or any successor agency performing similar functions.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(3)</w:t>
      </w:r>
      <w:r>
        <w:rPr>
          <w:rFonts w:cs="Times New Roman"/>
        </w:rPr>
        <w:tab/>
      </w:r>
      <w:r>
        <w:rPr>
          <w:rFonts w:cs="Times New Roman"/>
          <w:u w:val="single"/>
        </w:rPr>
        <w:t>‘Budget Stabilization Fund’ or ‘BSF’ means a fund established in the State Treasury separate and distinct from the general fund of the State and all other funds to which must be credited automatically general fund revenues accruing in a fiscal year in excess of the annual limit.  Earnings on the BSF must be credited to it and balances in the BSF carry forward in it to succeeding fiscal years.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(4)</w:t>
      </w:r>
      <w:r>
        <w:rPr>
          <w:rFonts w:cs="Times New Roman"/>
        </w:rPr>
        <w:tab/>
      </w:r>
      <w:r>
        <w:rPr>
          <w:rFonts w:cs="Times New Roman"/>
          <w:u w:val="single"/>
        </w:rPr>
        <w:t>‘Emergency’ means: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 xml:space="preserve">the existence of an operating deficit in the general fund of the State for a completed fiscal year after the exhaustion of </w:t>
      </w:r>
      <w:r>
        <w:rPr>
          <w:rFonts w:cs="Times New Roman"/>
          <w:u w:val="single"/>
        </w:rPr>
        <w:lastRenderedPageBreak/>
        <w:t>the Capital Reserve Fund as made in a finding by the Budget and Control Board upon sequestering the Capital Reserve Fund;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 xml:space="preserve">a catastrophic event outside the control of the General Assembly including, but not limited to, a natural disaster, severe weather event, act of God, or act of terrorism, fire, war, or riot;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compliance with an order or decree entered by a court of competent jurisdiction; and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compliance with a federal statute or regulation imposing a nonfunded mandate on this State.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(5)</w:t>
      </w:r>
      <w:r>
        <w:rPr>
          <w:rFonts w:cs="Times New Roman"/>
        </w:rPr>
        <w:tab/>
      </w:r>
      <w:r>
        <w:rPr>
          <w:rFonts w:cs="Times New Roman"/>
          <w:u w:val="single"/>
        </w:rPr>
        <w:t>‘General fund revenues’ means the revenues of state</w:t>
      </w:r>
      <w:r>
        <w:rPr>
          <w:rFonts w:cs="Times New Roman"/>
          <w:u w:val="single"/>
        </w:rPr>
        <w:noBreakHyphen/>
        <w:t>imposed taxes and fees, earnings on investments, and miscellaneous revenues to the State accruing in the fiscal year to which the annual limit applies,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the General Reserve Fund and the Capital Reserve Fund established, respectively, pursuant to Section 36(A) and (B), Article III of the Constitution of this State and Sections 11</w:t>
      </w:r>
      <w:r>
        <w:rPr>
          <w:rFonts w:cs="Times New Roman"/>
          <w:u w:val="single"/>
        </w:rPr>
        <w:noBreakHyphen/>
        <w:t>11</w:t>
      </w:r>
      <w:r>
        <w:rPr>
          <w:rFonts w:cs="Times New Roman"/>
          <w:u w:val="single"/>
        </w:rPr>
        <w:noBreakHyphen/>
        <w:t>310 and 11</w:t>
      </w:r>
      <w:r>
        <w:rPr>
          <w:rFonts w:cs="Times New Roman"/>
          <w:u w:val="single"/>
        </w:rPr>
        <w:noBreakHyphen/>
        <w:t>11</w:t>
      </w:r>
      <w:r>
        <w:rPr>
          <w:rFonts w:cs="Times New Roman"/>
          <w:u w:val="single"/>
        </w:rPr>
        <w:noBreakHyphen/>
        <w:t>320;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the State Highway Fund and the State Non</w:t>
      </w:r>
      <w:r>
        <w:rPr>
          <w:rFonts w:cs="Times New Roman"/>
          <w:u w:val="single"/>
        </w:rPr>
        <w:noBreakHyphen/>
        <w:t>Federal Aid State Highway Fund established pursuant to Section 57</w:t>
      </w:r>
      <w:r>
        <w:rPr>
          <w:rFonts w:cs="Times New Roman"/>
          <w:u w:val="single"/>
        </w:rPr>
        <w:noBreakHyphen/>
        <w:t>11</w:t>
      </w:r>
      <w:r>
        <w:rPr>
          <w:rFonts w:cs="Times New Roman"/>
          <w:u w:val="single"/>
        </w:rPr>
        <w:noBreakHyphen/>
        <w:t>20;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the Education Improvement Act of 1984 Fund established pursuant to Section 59</w:t>
      </w:r>
      <w:r>
        <w:rPr>
          <w:rFonts w:cs="Times New Roman"/>
          <w:u w:val="single"/>
        </w:rPr>
        <w:noBreakHyphen/>
        <w:t>21</w:t>
      </w:r>
      <w:r>
        <w:rPr>
          <w:rFonts w:cs="Times New Roman"/>
          <w:u w:val="single"/>
        </w:rPr>
        <w:noBreakHyphen/>
        <w:t>1010(B);</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the Trust Fund for Tax Relief established pursuant to Section 11</w:t>
      </w:r>
      <w:r>
        <w:rPr>
          <w:rFonts w:cs="Times New Roman"/>
          <w:u w:val="single"/>
        </w:rPr>
        <w:noBreakHyphen/>
        <w:t>11</w:t>
      </w:r>
      <w:r>
        <w:rPr>
          <w:rFonts w:cs="Times New Roman"/>
          <w:u w:val="single"/>
        </w:rPr>
        <w:noBreakHyphen/>
        <w:t xml:space="preserve">150(B);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(e)</w:t>
      </w:r>
      <w:r>
        <w:rPr>
          <w:rFonts w:cs="Times New Roman"/>
        </w:rPr>
        <w:tab/>
      </w:r>
      <w:r>
        <w:rPr>
          <w:rFonts w:cs="Times New Roman"/>
          <w:u w:val="single"/>
        </w:rPr>
        <w:t>the Homestead Exemption Fund established pursuant to Section 11</w:t>
      </w:r>
      <w:r>
        <w:rPr>
          <w:rFonts w:cs="Times New Roman"/>
          <w:u w:val="single"/>
        </w:rPr>
        <w:noBreakHyphen/>
        <w:t>11</w:t>
      </w:r>
      <w:r>
        <w:rPr>
          <w:rFonts w:cs="Times New Roman"/>
          <w:u w:val="single"/>
        </w:rPr>
        <w:noBreakHyphen/>
        <w:t>155; and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(f)</w:t>
      </w:r>
      <w:r>
        <w:rPr>
          <w:rFonts w:cs="Times New Roman"/>
        </w:rPr>
        <w:tab/>
      </w:r>
      <w:r>
        <w:rPr>
          <w:rFonts w:cs="Times New Roman"/>
          <w:u w:val="single"/>
        </w:rPr>
        <w:t>the State Institution Bonds and State Highway Bonds Debt Service Fund established pursuant to Section 11</w:t>
      </w:r>
      <w:r>
        <w:rPr>
          <w:rFonts w:cs="Times New Roman"/>
          <w:u w:val="single"/>
        </w:rPr>
        <w:noBreakHyphen/>
        <w:t>11</w:t>
      </w:r>
      <w:r>
        <w:rPr>
          <w:rFonts w:cs="Times New Roman"/>
          <w:u w:val="single"/>
        </w:rPr>
        <w:noBreakHyphen/>
        <w:t>340.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lastRenderedPageBreak/>
        <w:tab/>
      </w:r>
      <w:r>
        <w:rPr>
          <w:rFonts w:cs="Times New Roman"/>
        </w:rPr>
        <w:tab/>
      </w:r>
      <w:r>
        <w:rPr>
          <w:rFonts w:cs="Times New Roman"/>
          <w:u w:val="single"/>
        </w:rPr>
        <w:t>(6)</w:t>
      </w:r>
      <w:r>
        <w:rPr>
          <w:rFonts w:cs="Times New Roman"/>
        </w:rPr>
        <w:tab/>
      </w:r>
      <w:r>
        <w:rPr>
          <w:rFonts w:cs="Times New Roman"/>
          <w:u w:val="single"/>
        </w:rPr>
        <w:t>‘OSB’ means the Office of State Budget of the State Budget and Control Board, or a successor agency performing similar functions.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val="single"/>
        </w:rPr>
      </w:pPr>
      <w:r>
        <w:rPr>
          <w:rFonts w:cs="Times New Roman"/>
        </w:rPr>
        <w:tab/>
      </w:r>
      <w:r>
        <w:rPr>
          <w:rFonts w:cs="Times New Roman"/>
          <w:u w:val="single"/>
        </w:rPr>
        <w:t>(B)</w:t>
      </w:r>
      <w:r>
        <w:rPr>
          <w:rFonts w:cs="Times New Roman"/>
        </w:rPr>
        <w:tab/>
      </w:r>
      <w:r>
        <w:rPr>
          <w:rFonts w:cs="Times New Roman"/>
          <w:u w:val="single"/>
        </w:rPr>
        <w:t>Except as provided in subsection (D)</w:t>
      </w:r>
      <w:r>
        <w:rPr>
          <w:rFonts w:cs="Times New Roman"/>
          <w:bCs/>
          <w:u w:val="single"/>
        </w:rPr>
        <w:t xml:space="preserve"> </w:t>
      </w:r>
      <w:r>
        <w:rPr>
          <w:rFonts w:cs="Times New Roman"/>
          <w:u w:val="single"/>
        </w:rPr>
        <w:t>of this section, the General Assembly may not appropriate general fund revenues for a fiscal year in an amount that totals more than the annual limit.  The annual limit applies in all stages of the budget process, including the Governor’s proposed budget, and this compliance must be certified by the OSB in an addendum to the Governor’s proposed budget, the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(C)(1)</w:t>
      </w:r>
      <w:r>
        <w:rPr>
          <w:rFonts w:cs="Times New Roman"/>
        </w:rPr>
        <w:tab/>
      </w:r>
      <w:r>
        <w:rPr>
          <w:rFonts w:cs="Times New Roman"/>
          <w:u w:val="single"/>
        </w:rPr>
        <w:t>When the BEA makes or adjusts a forecast of state revenues, that forecast or adjustment must include a forecast or adjustment of general fund revenues as defined pursuant to subsection (A)(5) of this section, not including a BSF transfer and the then applicable annual limit.  If the forecast or adjustment of the general fund revenues is less than the annual limit, there is transferred for that fiscal year whatever BSF balance is available to offset as much of this projected shortfall as the balance permits, but in no case more than the amount necessary, that when added to the forecast, equals the annual limit.  This transfer must be accomplished by a separate line item in the annual general appropriations bill.</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If revenues in the General Reserve Fund established pursuant to Section 36(A), Article III of the Constitution of this State and Section 11</w:t>
      </w:r>
      <w:r>
        <w:rPr>
          <w:rFonts w:cs="Times New Roman"/>
          <w:u w:val="single"/>
        </w:rPr>
        <w:noBreakHyphen/>
        <w:t>11</w:t>
      </w:r>
      <w:r>
        <w:rPr>
          <w:rFonts w:cs="Times New Roman"/>
          <w:u w:val="single"/>
        </w:rPr>
        <w:noBreakHyphen/>
        <w:t>310 are used to offset a year</w:t>
      </w:r>
      <w:r>
        <w:rPr>
          <w:rFonts w:cs="Times New Roman"/>
          <w:u w:val="single"/>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(3)(a)</w:t>
      </w:r>
      <w:r>
        <w:rPr>
          <w:rFonts w:cs="Times New Roman"/>
        </w:rPr>
        <w:tab/>
      </w:r>
      <w:r>
        <w:rPr>
          <w:rFonts w:cs="Times New Roman"/>
          <w:u w:val="single"/>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Pr>
          <w:rFonts w:cs="Times New Roman"/>
          <w:u w:val="single"/>
        </w:rPr>
        <w:noBreakHyphen/>
        <w:t xml:space="preserve">thirds of the </w:t>
      </w:r>
      <w:r>
        <w:rPr>
          <w:rFonts w:cs="Times New Roman"/>
          <w:u w:val="single"/>
        </w:rPr>
        <w:lastRenderedPageBreak/>
        <w:t>members present and voting, but not less than three</w:t>
      </w:r>
      <w:r>
        <w:rPr>
          <w:rFonts w:cs="Times New Roman"/>
          <w:u w:val="single"/>
        </w:rPr>
        <w:noBreakHyphen/>
        <w:t>fifths of the total membership of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Cash balances in the BSF in excess of fifteen percent of general fund revenues for the last completed fiscal year as certified by the OSB may be appropriated by the General Assembly for capital improvements, retirement of debt, non</w:t>
      </w:r>
      <w:r>
        <w:rPr>
          <w:rFonts w:cs="Times New Roman"/>
          <w:u w:val="single"/>
        </w:rPr>
        <w:noBreakHyphen/>
        <w:t>recurring tax rebates, and other nonrecurring purposes in separate legislation solely for that purpose receiving an affirmative majority vote in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(D)</w:t>
      </w:r>
      <w:r>
        <w:rPr>
          <w:rFonts w:cs="Times New Roman"/>
        </w:rPr>
        <w:tab/>
      </w:r>
      <w:r>
        <w:rPr>
          <w:rFonts w:cs="Times New Roman"/>
          <w:u w:val="single"/>
        </w:rPr>
        <w:t>If there is a finding of an emergency, the annual limit may be exceeded for a fiscal year and a concomitantly larger transfer made from the BSF to the general fund of the State for that fiscal year up to the amount by which the annual limit is exceeded.  General fund revenue appropriations above the annual limit pursuant to a finding of an emergency are not included in the calculation of the annual limit.  Transfers to the BSF for a fiscal year for which there is a finding of an emergency apply only to general fund revenues accruing in excess of the annual limit plus the amount by which the annual limit is exceeded.  An emergency exists if the General Assembly makes a finding enacted as part of the annual general appropriations act or other act or joint resolution appropriating general fund revenues which:</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 xml:space="preserve">specifies the emergency; and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i/>
          <w:iCs/>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which is adopted by an affirmative recorded vote in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(F)</w:t>
      </w:r>
      <w:r>
        <w:rPr>
          <w:rFonts w:cs="Times New Roman"/>
          <w:u w:val="single"/>
        </w:rPr>
        <w:t>(E)</w:t>
      </w:r>
      <w:r>
        <w:rPr>
          <w:rFonts w:cs="Times New Roman"/>
        </w:rPr>
        <w:tab/>
        <w:t xml:space="preserve">In </w:t>
      </w:r>
      <w:r>
        <w:rPr>
          <w:rFonts w:cs="Times New Roman"/>
          <w:strike/>
        </w:rPr>
        <w:t>any</w:t>
      </w:r>
      <w:r>
        <w:rPr>
          <w:rFonts w:cs="Times New Roman"/>
        </w:rPr>
        <w:t xml:space="preserve"> </w:t>
      </w:r>
      <w:r>
        <w:rPr>
          <w:rFonts w:cs="Times New Roman"/>
          <w:u w:val="single"/>
        </w:rPr>
        <w:t>a</w:t>
      </w:r>
      <w:r>
        <w:rPr>
          <w:rFonts w:cs="Times New Roman"/>
        </w:rPr>
        <w:t xml:space="preserve"> year when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are collected, </w:t>
      </w:r>
      <w:r>
        <w:rPr>
          <w:rFonts w:cs="Times New Roman"/>
          <w:strike/>
        </w:rPr>
        <w:t>such revenue</w:t>
      </w:r>
      <w:r>
        <w:rPr>
          <w:rFonts w:cs="Times New Roman"/>
        </w:rPr>
        <w:t xml:space="preserve"> </w:t>
      </w:r>
      <w:r>
        <w:rPr>
          <w:rFonts w:cs="Times New Roman"/>
          <w:u w:val="single"/>
        </w:rPr>
        <w:t>this</w:t>
      </w:r>
      <w:r>
        <w:rPr>
          <w:rFonts w:cs="Times New Roman"/>
        </w:rPr>
        <w:t xml:space="preserve"> surplus may be appropriated by the General Assembly </w:t>
      </w:r>
      <w:r>
        <w:rPr>
          <w:rFonts w:cs="Times New Roman"/>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Pr>
          <w:rFonts w:cs="Times New Roman"/>
        </w:rPr>
        <w:t xml:space="preserve"> </w:t>
      </w:r>
      <w:r>
        <w:rPr>
          <w:rFonts w:cs="Times New Roman"/>
          <w:u w:val="single"/>
        </w:rPr>
        <w:t>in the manner, for the purposes, and at the times provided by law</w:t>
      </w:r>
      <w:r>
        <w:rPr>
          <w:rFonts w:cs="Times New Roman"/>
        </w:rPr>
        <w:t>, or transferred to the general fund reserve</w:t>
      </w:r>
      <w:r>
        <w:rPr>
          <w:rFonts w:cs="Times New Roman"/>
          <w:strike/>
        </w:rPr>
        <w:t>, or tax relief or for avoiding the issuance of bonds for projects that are authorized but not issued or any combination of these purposes</w:t>
      </w:r>
      <w:r>
        <w:rPr>
          <w:rFonts w:cs="Times New Roman"/>
        </w:rPr>
        <w:t xml:space="preserve"> without regard to the </w:t>
      </w:r>
      <w:r>
        <w:rPr>
          <w:rFonts w:cs="Times New Roman"/>
          <w:strike/>
        </w:rPr>
        <w:t xml:space="preserve">spending </w:t>
      </w:r>
      <w:r>
        <w:rPr>
          <w:rFonts w:cs="Times New Roman"/>
        </w:rPr>
        <w:t xml:space="preserve">limitation </w:t>
      </w:r>
      <w:r>
        <w:rPr>
          <w:rFonts w:cs="Times New Roman"/>
          <w:u w:val="single"/>
        </w:rPr>
        <w:t>imposed by this section</w:t>
      </w:r>
      <w:r>
        <w:rPr>
          <w:rFonts w:cs="Times New Roman"/>
        </w:rPr>
        <w:t xml:space="preserve">.  For the purposes of this section,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mean that portion of </w:t>
      </w:r>
      <w:r>
        <w:rPr>
          <w:rFonts w:cs="Times New Roman"/>
          <w:u w:val="single"/>
        </w:rPr>
        <w:t>such</w:t>
      </w:r>
      <w:r>
        <w:rPr>
          <w:rFonts w:cs="Times New Roman"/>
        </w:rPr>
        <w:t xml:space="preserve"> revenues, as defined in subsection (A)</w:t>
      </w:r>
      <w:r>
        <w:rPr>
          <w:rFonts w:cs="Times New Roman"/>
          <w:u w:val="single"/>
        </w:rPr>
        <w:t>(5)</w:t>
      </w:r>
      <w:r>
        <w:rPr>
          <w:rFonts w:cs="Times New Roman"/>
        </w:rPr>
        <w:t xml:space="preserve"> of this section, </w:t>
      </w:r>
      <w:r>
        <w:rPr>
          <w:rFonts w:cs="Times New Roman"/>
          <w:strike/>
        </w:rPr>
        <w:t>over and above revenues authorized for appropriation in subsection (B)</w:t>
      </w:r>
      <w:r>
        <w:rPr>
          <w:rFonts w:cs="Times New Roman"/>
        </w:rPr>
        <w:t xml:space="preserve"> </w:t>
      </w:r>
      <w:r>
        <w:rPr>
          <w:rFonts w:cs="Times New Roman"/>
          <w:u w:val="single"/>
        </w:rPr>
        <w:t>which are available for appropriation and have not been appropriated and that are not required to be</w:t>
      </w:r>
      <w:r>
        <w:rPr>
          <w:rFonts w:cs="Times New Roman"/>
          <w:bCs/>
          <w:i/>
          <w:iCs/>
          <w:u w:val="single"/>
        </w:rPr>
        <w:t xml:space="preserve"> </w:t>
      </w:r>
      <w:r>
        <w:rPr>
          <w:rFonts w:cs="Times New Roman"/>
          <w:u w:val="single"/>
        </w:rPr>
        <w:t>credited to the BSF</w:t>
      </w:r>
      <w:r>
        <w:rPr>
          <w:rFonts w:cs="Times New Roman"/>
        </w:rPr>
        <w:t>.”</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SECTION</w:t>
      </w:r>
      <w:r>
        <w:rPr>
          <w:rFonts w:cs="Times New Roman"/>
        </w:rPr>
        <w:tab/>
        <w:t>2.</w:t>
      </w:r>
      <w:r>
        <w:rPr>
          <w:rFonts w:cs="Times New Roman"/>
        </w:rPr>
        <w:tab/>
        <w:t>This act becomes effective after the ratification of an amendment to Section 7(c), Article X of the Constitution of this State authorizing its terms and first applies for appropriations for the first state fiscal year beginning more than one year after that date, prior to which the unamended version of Section 11</w:t>
      </w:r>
      <w:r>
        <w:rPr>
          <w:rFonts w:cs="Times New Roman"/>
        </w:rPr>
        <w:noBreakHyphen/>
        <w:t>11</w:t>
      </w:r>
      <w:r>
        <w:rPr>
          <w:rFonts w:cs="Times New Roman"/>
        </w:rPr>
        <w:noBreakHyphen/>
        <w:t xml:space="preserve">410 of the 1976 Code continues to apply. </w:t>
      </w:r>
    </w:p>
    <w:p w:rsidR="00166024" w:rsidRDefault="00B205A5" w:rsidP="00931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6024" w:rsidSect="00B205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24" w:rsidRDefault="00166024" w:rsidP="00166024">
      <w:r>
        <w:separator/>
      </w:r>
    </w:p>
  </w:endnote>
  <w:endnote w:type="continuationSeparator" w:id="0">
    <w:p w:rsidR="00166024" w:rsidRDefault="00166024" w:rsidP="001660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DD05C-F447-4B1A-A7D3-274AE0811214}"/>
    <w:embedBold r:id="rId2" w:fontKey="{B13BF0E6-5CFE-4996-894B-6041DC16FBEE}"/>
    <w:embedItalic r:id="rId3" w:fontKey="{E4E5865E-36EF-4ADC-ACD6-5EE81729AA1C}"/>
    <w:embedBoldItalic r:id="rId4" w:fontKey="{0C652E27-3BF0-41E7-A9AE-7E40FE98C51D}"/>
  </w:font>
  <w:font w:name="Calibri">
    <w:panose1 w:val="020F0502020204030204"/>
    <w:charset w:val="00"/>
    <w:family w:val="swiss"/>
    <w:pitch w:val="variable"/>
    <w:sig w:usb0="A00002EF" w:usb1="4000207B" w:usb2="00000000" w:usb3="00000000" w:csb0="0000009F" w:csb1="00000000"/>
    <w:embedRegular r:id="rId5" w:fontKey="{80F7064E-93B4-4B3C-A47D-A0A9F7C8571D}"/>
    <w:embedItalic r:id="rId6" w:fontKey="{8A21C5C5-AF94-4F90-82DB-51CC62DE752D}"/>
  </w:font>
  <w:font w:name="Tahoma">
    <w:panose1 w:val="020B0604030504040204"/>
    <w:charset w:val="00"/>
    <w:family w:val="swiss"/>
    <w:pitch w:val="variable"/>
    <w:sig w:usb0="61002A87" w:usb1="80000000" w:usb2="00000008" w:usb3="00000000" w:csb0="000101FF" w:csb1="00000000"/>
    <w:embedRegular r:id="rId7" w:fontKey="{E8439FCD-8BD2-486A-B8BF-E0417AF5767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98F47B1B-2DC9-4922-A6E6-3FFF00D8E9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24" w:rsidRDefault="00B205A5">
    <w:pPr>
      <w:pStyle w:val="Footer"/>
      <w:tabs>
        <w:tab w:val="clear" w:pos="4680"/>
        <w:tab w:val="clear" w:pos="9360"/>
        <w:tab w:val="center" w:pos="2995"/>
      </w:tabs>
      <w:spacing w:before="120"/>
    </w:pPr>
    <w:r>
      <w:t>[2-</w:t>
    </w:r>
    <w:fldSimple w:instr=" PAGE  \* MERGEFORMAT ">
      <w:r w:rsidR="0093144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5" w:rsidRDefault="00B205A5">
    <w:pPr>
      <w:pStyle w:val="Footer"/>
      <w:tabs>
        <w:tab w:val="clear" w:pos="4680"/>
        <w:tab w:val="clear" w:pos="9360"/>
        <w:tab w:val="center" w:pos="2995"/>
      </w:tabs>
      <w:spacing w:before="120"/>
    </w:pPr>
    <w:r>
      <w:t>[2]</w:t>
    </w:r>
    <w:r>
      <w:tab/>
    </w:r>
    <w:fldSimple w:instr=" PAGE  \* MERGEFORMAT ">
      <w:r w:rsidR="009314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24" w:rsidRDefault="00166024" w:rsidP="00166024">
      <w:r>
        <w:separator/>
      </w:r>
    </w:p>
  </w:footnote>
  <w:footnote w:type="continuationSeparator" w:id="0">
    <w:p w:rsidR="00166024" w:rsidRDefault="00166024" w:rsidP="001660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6024"/>
    <w:rsid w:val="00166024"/>
    <w:rsid w:val="003439F5"/>
    <w:rsid w:val="0093144B"/>
    <w:rsid w:val="00B205A5"/>
    <w:rsid w:val="00E310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6024"/>
    <w:rPr>
      <w:szCs w:val="21"/>
    </w:rPr>
  </w:style>
  <w:style w:type="character" w:customStyle="1" w:styleId="PlainTextChar">
    <w:name w:val="Plain Text Char"/>
    <w:basedOn w:val="DefaultParagraphFont"/>
    <w:link w:val="PlainText"/>
    <w:uiPriority w:val="99"/>
    <w:rsid w:val="00166024"/>
    <w:rPr>
      <w:szCs w:val="21"/>
    </w:rPr>
  </w:style>
  <w:style w:type="paragraph" w:styleId="BodyText">
    <w:name w:val="Body Text"/>
    <w:basedOn w:val="Normal"/>
    <w:link w:val="BodyTextChar"/>
    <w:uiPriority w:val="99"/>
    <w:locked/>
    <w:rsid w:val="00166024"/>
  </w:style>
  <w:style w:type="character" w:customStyle="1" w:styleId="BodyTextChar">
    <w:name w:val="Body Text Char"/>
    <w:basedOn w:val="DefaultParagraphFont"/>
    <w:link w:val="BodyText"/>
    <w:uiPriority w:val="99"/>
    <w:rsid w:val="00166024"/>
  </w:style>
  <w:style w:type="paragraph" w:styleId="BalloonText">
    <w:name w:val="Balloon Text"/>
    <w:next w:val="Normal"/>
    <w:link w:val="BalloonTextChar"/>
    <w:uiPriority w:val="99"/>
    <w:unhideWhenUsed/>
    <w:rsid w:val="00166024"/>
    <w:rPr>
      <w:rFonts w:cs="Tahoma"/>
      <w:szCs w:val="16"/>
    </w:rPr>
  </w:style>
  <w:style w:type="character" w:customStyle="1" w:styleId="BalloonTextChar">
    <w:name w:val="Balloon Text Char"/>
    <w:basedOn w:val="DefaultParagraphFont"/>
    <w:link w:val="BalloonText"/>
    <w:uiPriority w:val="99"/>
    <w:rsid w:val="00166024"/>
    <w:rPr>
      <w:rFonts w:cs="Tahoma"/>
      <w:szCs w:val="16"/>
    </w:rPr>
  </w:style>
  <w:style w:type="paragraph" w:styleId="NormalWeb">
    <w:name w:val="Normal (Web)"/>
    <w:basedOn w:val="Normal"/>
    <w:next w:val="Normal"/>
    <w:semiHidden/>
    <w:locked/>
    <w:rsid w:val="001660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60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6024"/>
    <w:rPr>
      <w:rFonts w:cs="Times New Roman"/>
    </w:rPr>
  </w:style>
  <w:style w:type="character" w:styleId="LineNumber">
    <w:name w:val="line number"/>
    <w:basedOn w:val="DefaultParagraphFont"/>
    <w:uiPriority w:val="99"/>
    <w:semiHidden/>
    <w:unhideWhenUsed/>
    <w:locked/>
    <w:rsid w:val="00B205A5"/>
  </w:style>
  <w:style w:type="paragraph" w:styleId="Header">
    <w:name w:val="header"/>
    <w:basedOn w:val="Normal"/>
    <w:link w:val="HeaderChar"/>
    <w:uiPriority w:val="99"/>
    <w:semiHidden/>
    <w:unhideWhenUsed/>
    <w:locked/>
    <w:rsid w:val="00B205A5"/>
    <w:pPr>
      <w:tabs>
        <w:tab w:val="center" w:pos="4680"/>
        <w:tab w:val="right" w:pos="9360"/>
      </w:tabs>
    </w:pPr>
  </w:style>
  <w:style w:type="character" w:customStyle="1" w:styleId="HeaderChar">
    <w:name w:val="Header Char"/>
    <w:basedOn w:val="DefaultParagraphFont"/>
    <w:link w:val="Header"/>
    <w:uiPriority w:val="99"/>
    <w:semiHidden/>
    <w:rsid w:val="00B205A5"/>
  </w:style>
  <w:style w:type="character" w:styleId="FollowedHyperlink">
    <w:name w:val="FollowedHyperlink"/>
    <w:basedOn w:val="DefaultParagraphFont"/>
    <w:uiPriority w:val="99"/>
    <w:semiHidden/>
    <w:unhideWhenUsed/>
    <w:locked/>
    <w:rsid w:val="003439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2357</Words>
  <Characters>12141</Characters>
  <Application>Microsoft Office Word</Application>
  <DocSecurity>0</DocSecurity>
  <Lines>282</Lines>
  <Paragraphs>55</Paragraphs>
  <ScaleCrop>false</ScaleCrop>
  <Company>Project Management</Company>
  <LinksUpToDate>false</LinksUpToDate>
  <CharactersWithSpaces>14443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2010-03-09T23:41:00Z</dcterms:created>
  <dcterms:modified xsi:type="dcterms:W3CDTF">2010-03-09T23:41:00Z</dcterms:modified>
</cp:coreProperties>
</file>