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AMENDED</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May 13, 2009</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A1AFD" w:rsidRPr="00AA1AFD" w:rsidRDefault="00AA1AFD" w:rsidP="00AA1AFD">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304</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Land, Campsen and Grooms</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5/13/09--H.</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25, 2009.</w:t>
      </w:r>
    </w:p>
    <w:p w:rsidR="00AA1AFD" w:rsidRPr="00AA1AFD" w:rsidRDefault="00AA1AFD" w:rsidP="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4A4A54" w:rsidRPr="004A4A54"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4A4A54" w:rsidRPr="004A4A54" w:rsidSect="004A4A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Calibri" w:cs="Times New Roman"/>
        </w:rPr>
        <w:t>TO AMEND SECTION 6</w:t>
      </w:r>
      <w:r>
        <w:rPr>
          <w:rFonts w:eastAsia="Calibri" w:cs="Times New Roman"/>
        </w:rPr>
        <w:noBreakHyphen/>
        <w:t>1</w:t>
      </w:r>
      <w:r>
        <w:rPr>
          <w:rFonts w:eastAsia="Calibri" w:cs="Times New Roman"/>
        </w:rPr>
        <w:noBreakHyphen/>
        <w:t>760 OF THE 1976 CODE, RELATING TO REVENUE BONDS, TO PROVIDE THAT THE PROCEEDS OF LOCAL ACCOMMODATIONS FEES, HOSPITALITY FEES, AND STATE ACCOMMODATIONS FEES MAY BE PLEDGED AS SECURITY, AND TO AMEND SECTION 6</w:t>
      </w:r>
      <w:r>
        <w:rPr>
          <w:rFonts w:eastAsia="Calibri" w:cs="Times New Roman"/>
        </w:rPr>
        <w:noBreakHyphen/>
        <w:t>4</w:t>
      </w:r>
      <w:r>
        <w:rPr>
          <w:rFonts w:eastAsia="Calibri" w:cs="Times New Roman"/>
        </w:rPr>
        <w:noBreakHyphen/>
        <w:t>10, RELATING TO STATE ACCOMMODATIONS FEES, TO PROVIDE THAT FEES ALLOCATED FOR ADVERTISING AND PROMOTING TOURISM MAY NOT BE PLEDGED AS SECURITY.</w:t>
      </w:r>
    </w:p>
    <w:p w:rsidR="00AA1AFD" w:rsidRDefault="00AA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1.</w:t>
      </w:r>
      <w:r>
        <w:rPr>
          <w:rFonts w:eastAsia="Times New Roman" w:cs="Times New Roman"/>
          <w:color w:val="000000" w:themeColor="text1"/>
          <w:u w:color="000000" w:themeColor="text1"/>
        </w:rPr>
        <w:tab/>
      </w:r>
      <w:r>
        <w:rPr>
          <w:rFonts w:eastAsia="Times New Roman" w:cs="Times New Roman"/>
          <w:color w:val="000000" w:themeColor="text1"/>
          <w:szCs w:val="20"/>
          <w:u w:color="000000" w:themeColor="text1"/>
        </w:rPr>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760.</w:t>
      </w:r>
      <w:r>
        <w:rPr>
          <w:rFonts w:eastAsia="Times New Roman" w:cs="Times New Roman"/>
          <w:color w:val="000000" w:themeColor="text1"/>
          <w:szCs w:val="20"/>
          <w:u w:color="000000" w:themeColor="text1"/>
        </w:rPr>
        <w:tab/>
        <w:t>Notwithstanding any provision of this article, any ordinance enacted by county or municipality prior to March 15, 1997, imposing an accommodations fee which does not exceed the three percent maximum cumulative rate prescribed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540, is calculated upon a base consistent with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510(1), and the revenue from which is used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530, remains authorized and effective after the effective date of this section</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w:t>
      </w:r>
      <w:r>
        <w:rPr>
          <w:rFonts w:eastAsia="Times New Roman" w:cs="Times New Roman"/>
          <w:strike/>
          <w:color w:val="000000" w:themeColor="text1"/>
          <w:szCs w:val="20"/>
          <w:u w:color="000000" w:themeColor="text1"/>
        </w:rPr>
        <w:t>and the enacting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Any</w:t>
      </w:r>
      <w:r>
        <w:rPr>
          <w:rFonts w:eastAsia="Times New Roman" w:cs="Times New Roman"/>
          <w:color w:val="000000" w:themeColor="text1"/>
          <w:szCs w:val="20"/>
          <w:u w:color="000000" w:themeColor="text1"/>
        </w:rPr>
        <w:t xml:space="preserve"> county or municipality is authorized to issue bonds, pursuant to Article X, Section 14(10) of the Constitution of this State, utilizing the procedures of Section 4</w:t>
      </w:r>
      <w:r>
        <w:rPr>
          <w:rFonts w:eastAsia="Times New Roman" w:cs="Times New Roman"/>
          <w:color w:val="000000" w:themeColor="text1"/>
          <w:szCs w:val="20"/>
          <w:u w:color="000000" w:themeColor="text1"/>
        </w:rPr>
        <w:noBreakHyphen/>
        <w:t>29</w:t>
      </w:r>
      <w:r>
        <w:rPr>
          <w:rFonts w:eastAsia="Times New Roman" w:cs="Times New Roman"/>
          <w:color w:val="000000" w:themeColor="text1"/>
          <w:szCs w:val="20"/>
          <w:u w:color="000000" w:themeColor="text1"/>
        </w:rPr>
        <w:noBreakHyphen/>
        <w:t xml:space="preserve">68, </w:t>
      </w:r>
      <w:r>
        <w:rPr>
          <w:rFonts w:eastAsia="Times New Roman" w:cs="Times New Roman"/>
          <w:color w:val="000000" w:themeColor="text1"/>
          <w:szCs w:val="20"/>
          <w:u w:val="single" w:color="000000" w:themeColor="text1"/>
        </w:rPr>
        <w:t>Section 6</w:t>
      </w:r>
      <w:r>
        <w:rPr>
          <w:rFonts w:eastAsia="Times New Roman" w:cs="Times New Roman"/>
          <w:color w:val="000000" w:themeColor="text1"/>
          <w:szCs w:val="20"/>
          <w:u w:val="single" w:color="000000" w:themeColor="text1"/>
        </w:rPr>
        <w:noBreakHyphen/>
        <w:t>17</w:t>
      </w:r>
      <w:r>
        <w:rPr>
          <w:rFonts w:eastAsia="Times New Roman" w:cs="Times New Roman"/>
          <w:color w:val="000000" w:themeColor="text1"/>
          <w:szCs w:val="20"/>
          <w:u w:val="single" w:color="000000" w:themeColor="text1"/>
        </w:rPr>
        <w:noBreakHyphen/>
        <w:t>10</w:t>
      </w:r>
      <w:r w:rsidR="00DF40CE">
        <w:rPr>
          <w:rFonts w:eastAsia="Times New Roman" w:cs="Times New Roman"/>
          <w:color w:val="000000" w:themeColor="text1"/>
          <w:szCs w:val="20"/>
          <w:u w:val="single" w:color="000000" w:themeColor="text1"/>
        </w:rPr>
        <w:t>,</w:t>
      </w:r>
      <w:r>
        <w:rPr>
          <w:rFonts w:eastAsia="Times New Roman" w:cs="Times New Roman"/>
          <w:color w:val="000000" w:themeColor="text1"/>
          <w:szCs w:val="20"/>
          <w:u w:val="single" w:color="000000" w:themeColor="text1"/>
        </w:rPr>
        <w:t xml:space="preserve"> et seq., or Section 6</w:t>
      </w:r>
      <w:r>
        <w:rPr>
          <w:rFonts w:eastAsia="Times New Roman" w:cs="Times New Roman"/>
          <w:color w:val="000000" w:themeColor="text1"/>
          <w:szCs w:val="20"/>
          <w:u w:val="single" w:color="000000" w:themeColor="text1"/>
        </w:rPr>
        <w:noBreakHyphen/>
        <w:t>21</w:t>
      </w:r>
      <w:r>
        <w:rPr>
          <w:rFonts w:eastAsia="Times New Roman" w:cs="Times New Roman"/>
          <w:color w:val="000000" w:themeColor="text1"/>
          <w:szCs w:val="20"/>
          <w:u w:val="single" w:color="000000" w:themeColor="text1"/>
        </w:rPr>
        <w:noBreakHyphen/>
        <w:t>10</w:t>
      </w:r>
      <w:r w:rsidR="00DF40CE">
        <w:rPr>
          <w:rFonts w:eastAsia="Times New Roman" w:cs="Times New Roman"/>
          <w:color w:val="000000" w:themeColor="text1"/>
          <w:szCs w:val="20"/>
          <w:u w:val="single" w:color="000000" w:themeColor="text1"/>
        </w:rPr>
        <w:t>,</w:t>
      </w:r>
      <w:r>
        <w:rPr>
          <w:rFonts w:eastAsia="Times New Roman" w:cs="Times New Roman"/>
          <w:color w:val="000000" w:themeColor="text1"/>
          <w:szCs w:val="20"/>
          <w:u w:val="single" w:color="000000" w:themeColor="text1"/>
        </w:rPr>
        <w:t xml:space="preserve"> et seq.,</w:t>
      </w:r>
      <w:r>
        <w:rPr>
          <w:rFonts w:eastAsia="Times New Roman" w:cs="Times New Roman"/>
          <w:color w:val="000000" w:themeColor="text1"/>
          <w:szCs w:val="20"/>
          <w:u w:color="000000" w:themeColor="text1"/>
        </w:rPr>
        <w:t xml:space="preserve"> for the purposes enumerated in Section 6</w:t>
      </w:r>
      <w:r>
        <w:rPr>
          <w:rFonts w:eastAsia="Times New Roman" w:cs="Times New Roman"/>
          <w:color w:val="000000" w:themeColor="text1"/>
          <w:szCs w:val="20"/>
          <w:u w:color="000000" w:themeColor="text1"/>
        </w:rPr>
        <w:noBreakHyphen/>
        <w:t>1</w:t>
      </w:r>
      <w:r>
        <w:rPr>
          <w:rFonts w:eastAsia="Times New Roman" w:cs="Times New Roman"/>
          <w:color w:val="000000" w:themeColor="text1"/>
          <w:szCs w:val="20"/>
          <w:u w:color="000000" w:themeColor="text1"/>
        </w:rPr>
        <w:noBreakHyphen/>
        <w:t xml:space="preserve">530, </w:t>
      </w:r>
      <w:r>
        <w:rPr>
          <w:rFonts w:eastAsia="Times New Roman" w:cs="Times New Roman"/>
          <w:color w:val="000000" w:themeColor="text1"/>
          <w:szCs w:val="20"/>
          <w:u w:val="single" w:color="000000" w:themeColor="text1"/>
        </w:rPr>
        <w:t>to pledge as security for such bonds</w:t>
      </w:r>
      <w:r>
        <w:rPr>
          <w:rFonts w:eastAsia="Times New Roman" w:cs="Times New Roman"/>
          <w:color w:val="000000" w:themeColor="text1"/>
          <w:szCs w:val="20"/>
          <w:u w:color="000000" w:themeColor="text1"/>
        </w:rPr>
        <w:t xml:space="preserve"> and to retire such </w:t>
      </w:r>
      <w:r>
        <w:rPr>
          <w:rFonts w:eastAsia="Times New Roman" w:cs="Times New Roman"/>
          <w:strike/>
          <w:color w:val="000000" w:themeColor="text1"/>
          <w:szCs w:val="20"/>
          <w:u w:color="000000" w:themeColor="text1"/>
        </w:rPr>
        <w:t>debt using</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bonds with</w:t>
      </w:r>
      <w:r>
        <w:rPr>
          <w:rFonts w:eastAsia="Times New Roman" w:cs="Times New Roman"/>
          <w:color w:val="000000" w:themeColor="text1"/>
          <w:szCs w:val="20"/>
          <w:u w:color="000000" w:themeColor="text1"/>
        </w:rPr>
        <w:t xml:space="preserve"> the proceeds of </w:t>
      </w:r>
      <w:r>
        <w:rPr>
          <w:rFonts w:eastAsia="Times New Roman" w:cs="Times New Roman"/>
          <w:strike/>
          <w:color w:val="000000" w:themeColor="text1"/>
          <w:szCs w:val="20"/>
          <w:u w:color="000000" w:themeColor="text1"/>
        </w:rPr>
        <w:t>such an accommodations fee ordinance</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 xml:space="preserve">accommodations fees imposed under Article 5 of this chapter, </w:t>
      </w:r>
      <w:r>
        <w:rPr>
          <w:rFonts w:eastAsia="Times New Roman" w:cs="Times New Roman"/>
          <w:color w:val="000000" w:themeColor="text1"/>
          <w:szCs w:val="20"/>
          <w:u w:val="single" w:color="000000" w:themeColor="text1"/>
        </w:rPr>
        <w:lastRenderedPageBreak/>
        <w:t>hospitality fees imposed under this chapter, state accommodations 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10(1), (2), and (4), or any combination thereof,</w:t>
      </w:r>
      <w:r>
        <w:rPr>
          <w:rFonts w:eastAsia="Times New Roman" w:cs="Times New Roman"/>
          <w:color w:val="000000" w:themeColor="text1"/>
          <w:szCs w:val="20"/>
          <w:u w:color="000000" w:themeColor="text1"/>
        </w:rPr>
        <w:t xml:space="preserve"> and the pledge of such other non</w:t>
      </w:r>
      <w:r>
        <w:rPr>
          <w:rFonts w:eastAsia="Times New Roman" w:cs="Times New Roman"/>
          <w:color w:val="000000" w:themeColor="text1"/>
          <w:szCs w:val="20"/>
          <w:u w:val="single" w:color="000000" w:themeColor="text1"/>
        </w:rPr>
        <w:noBreakHyphen/>
      </w:r>
      <w:r>
        <w:rPr>
          <w:rFonts w:eastAsia="Times New Roman" w:cs="Times New Roman"/>
          <w:color w:val="000000" w:themeColor="text1"/>
          <w:szCs w:val="20"/>
          <w:u w:color="000000" w:themeColor="text1"/>
        </w:rPr>
        <w:t>tax revenues as may be available for those purposes</w:t>
      </w:r>
      <w:r w:rsidR="00AA1AFD" w:rsidRPr="00220C44">
        <w:rPr>
          <w:rFonts w:eastAsia="Times New Roman" w:cs="Times New Roman"/>
          <w:szCs w:val="20"/>
        </w:rPr>
        <w:t xml:space="preserve"> </w:t>
      </w:r>
      <w:r w:rsidR="00AA1AFD" w:rsidRPr="00220C44">
        <w:rPr>
          <w:rFonts w:eastAsia="Times New Roman" w:cs="Times New Roman"/>
          <w:szCs w:val="20"/>
          <w:u w:val="single"/>
        </w:rPr>
        <w:t>that are to attract tourists and are for capital projects used primarily by out</w:t>
      </w:r>
      <w:r w:rsidR="00AA1AFD" w:rsidRPr="00220C44">
        <w:rPr>
          <w:rFonts w:eastAsia="Times New Roman" w:cs="Times New Roman"/>
          <w:szCs w:val="20"/>
          <w:u w:val="single"/>
        </w:rPr>
        <w:noBreakHyphen/>
        <w:t>of</w:t>
      </w:r>
      <w:r w:rsidR="00AA1AFD" w:rsidRPr="00220C44">
        <w:rPr>
          <w:rFonts w:eastAsia="Times New Roman" w:cs="Times New Roman"/>
          <w:szCs w:val="20"/>
          <w:u w:val="single"/>
        </w:rPr>
        <w:noBreakHyphen/>
        <w:t>market visitors who live at least fifty miles outside the local area as demonstrated by visitor surveys or other scientific research substantiating that the purpose will be used more by out</w:t>
      </w:r>
      <w:r w:rsidR="00AA1AFD" w:rsidRPr="00220C44">
        <w:rPr>
          <w:rFonts w:eastAsia="Times New Roman" w:cs="Times New Roman"/>
          <w:szCs w:val="20"/>
          <w:u w:val="single"/>
        </w:rPr>
        <w:noBreakHyphen/>
        <w:t>of</w:t>
      </w:r>
      <w:r w:rsidR="00AA1AFD" w:rsidRPr="00220C44">
        <w:rPr>
          <w:rFonts w:eastAsia="Times New Roman" w:cs="Times New Roman"/>
          <w:szCs w:val="20"/>
          <w:u w:val="single"/>
        </w:rPr>
        <w:noBreakHyphen/>
        <w:t>market visitors than local re</w:t>
      </w:r>
      <w:r w:rsidR="00AA1AFD">
        <w:rPr>
          <w:rFonts w:eastAsia="Times New Roman" w:cs="Times New Roman"/>
          <w:szCs w:val="20"/>
          <w:u w:val="single"/>
        </w:rPr>
        <w:t>sidents</w:t>
      </w:r>
      <w:r w:rsidR="00AA1AFD">
        <w:rPr>
          <w:rFonts w:eastAsia="Times New Roman" w:cs="Times New Roman"/>
          <w:szCs w:val="20"/>
        </w:rPr>
        <w:t>.</w:t>
      </w:r>
      <w:r>
        <w:rPr>
          <w:rFonts w:eastAsia="Times New Roman" w:cs="Times New Roman"/>
          <w:color w:val="000000" w:themeColor="text1"/>
          <w:szCs w:val="20"/>
          <w:u w:color="000000" w:themeColor="text1"/>
        </w:rPr>
        <w:t xml:space="preserve">  </w:t>
      </w:r>
      <w:r>
        <w:rPr>
          <w:rFonts w:eastAsia="Times New Roman" w:cs="Times New Roman"/>
          <w:color w:val="000000" w:themeColor="text1"/>
          <w:szCs w:val="20"/>
          <w:u w:val="single" w:color="000000" w:themeColor="text1"/>
        </w:rPr>
        <w:t>Fees allocated pursuant to Section 6</w:t>
      </w:r>
      <w:r>
        <w:rPr>
          <w:rFonts w:eastAsia="Times New Roman" w:cs="Times New Roman"/>
          <w:color w:val="000000" w:themeColor="text1"/>
          <w:szCs w:val="20"/>
          <w:u w:val="single" w:color="000000" w:themeColor="text1"/>
        </w:rPr>
        <w:noBreakHyphen/>
        <w:t>4</w:t>
      </w:r>
      <w:r>
        <w:rPr>
          <w:rFonts w:eastAsia="Times New Roman" w:cs="Times New Roman"/>
          <w:color w:val="000000" w:themeColor="text1"/>
          <w:szCs w:val="20"/>
          <w:u w:val="single" w:color="000000" w:themeColor="text1"/>
        </w:rPr>
        <w:noBreakHyphen/>
        <w:t>10(3) must be allocated to a special fund and used only for advertising and promotion of tourism to develop and increase tourist attendance through the generation of publicity, and not used to pledge as security for bonds and to retire bonds.</w:t>
      </w:r>
      <w:r>
        <w:rPr>
          <w:rFonts w:eastAsia="Times New Roman" w:cs="Times New Roman"/>
          <w:color w:val="000000" w:themeColor="text1"/>
          <w:szCs w:val="20"/>
          <w:u w:color="000000" w:themeColor="text1"/>
        </w:rPr>
        <w:t>”</w:t>
      </w:r>
      <w:r>
        <w:rPr>
          <w:rFonts w:eastAsia="Times New Roman" w:cs="Times New Roman"/>
          <w:color w:val="000000" w:themeColor="text1"/>
          <w:szCs w:val="20"/>
          <w:u w:color="000000" w:themeColor="text1"/>
        </w:rPr>
        <w:tab/>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r>
        <w:rPr>
          <w:rFonts w:eastAsia="Times New Roman" w:cs="Times New Roman"/>
          <w:color w:val="000000" w:themeColor="text1"/>
          <w:szCs w:val="20"/>
          <w:u w:color="000000" w:themeColor="text1"/>
        </w:rPr>
        <w:t>SECTION</w:t>
      </w:r>
      <w:r>
        <w:rPr>
          <w:rFonts w:eastAsia="Times New Roman" w:cs="Times New Roman"/>
          <w:color w:val="000000" w:themeColor="text1"/>
          <w:szCs w:val="20"/>
          <w:u w:color="000000" w:themeColor="text1"/>
        </w:rPr>
        <w:tab/>
        <w:t>2.</w:t>
      </w:r>
      <w:r>
        <w:rPr>
          <w:rFonts w:eastAsia="Times New Roman" w:cs="Times New Roman"/>
          <w:color w:val="000000" w:themeColor="text1"/>
          <w:szCs w:val="20"/>
          <w:u w:color="000000" w:themeColor="text1"/>
        </w:rPr>
        <w:tab/>
        <w:t>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10(3) of the 1976 Code is amended to read:</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szCs w:val="20"/>
          <w:u w:color="000000" w:themeColor="text1"/>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szCs w:val="20"/>
          <w:u w:color="000000" w:themeColor="text1"/>
        </w:rPr>
        <w:tab/>
        <w:t>“(3)</w:t>
      </w:r>
      <w:r>
        <w:rPr>
          <w:rFonts w:eastAsia="Times New Roman" w:cs="Times New Roman"/>
          <w:color w:val="000000" w:themeColor="text1"/>
          <w:szCs w:val="20"/>
          <w:u w:color="000000" w:themeColor="text1"/>
        </w:rPr>
        <w:tab/>
        <w:t xml:space="preserve">Thirty percent of the balance must be allocated to a special fund and used </w:t>
      </w:r>
      <w:r>
        <w:rPr>
          <w:rFonts w:eastAsia="Times New Roman" w:cs="Times New Roman"/>
          <w:color w:val="000000" w:themeColor="text1"/>
          <w:szCs w:val="20"/>
          <w:u w:val="single" w:color="000000" w:themeColor="text1"/>
        </w:rPr>
        <w:t>only</w:t>
      </w:r>
      <w:r>
        <w:rPr>
          <w:rFonts w:eastAsia="Times New Roman" w:cs="Times New Roman"/>
          <w:color w:val="000000" w:themeColor="text1"/>
          <w:szCs w:val="20"/>
          <w:u w:color="000000" w:themeColor="text1"/>
        </w:rPr>
        <w:t xml:space="preserve"> for advertising and promotion of tourism to develop and increase tourist attendance through the generation of publicity.  To manage and direct the expenditure of these tourism promotion funds, the municipality or county shall select one or more organizations, such as a chamber of commerce, visitor and convention bureau, or regional tourism commission, which has an existing, ongoing tourist promotion program.  If no organization exists</w:t>
      </w:r>
      <w:r>
        <w:rPr>
          <w:rFonts w:eastAsia="Times New Roman" w:cs="Times New Roman"/>
          <w:color w:val="000000" w:themeColor="text1"/>
          <w:szCs w:val="20"/>
          <w:u w:val="single" w:color="000000" w:themeColor="text1"/>
        </w:rPr>
        <w:t>,</w:t>
      </w:r>
      <w:r>
        <w:rPr>
          <w:rFonts w:eastAsia="Times New Roman" w:cs="Times New Roman"/>
          <w:color w:val="000000" w:themeColor="text1"/>
          <w:szCs w:val="20"/>
          <w:u w:color="000000" w:themeColor="text1"/>
        </w:rPr>
        <w:t xml:space="preserve"> the municipality or county shall create an organization with the same membership standard in Section 6</w:t>
      </w:r>
      <w:r>
        <w:rPr>
          <w:rFonts w:eastAsia="Times New Roman" w:cs="Times New Roman"/>
          <w:color w:val="000000" w:themeColor="text1"/>
          <w:szCs w:val="20"/>
          <w:u w:color="000000" w:themeColor="text1"/>
        </w:rPr>
        <w:noBreakHyphen/>
        <w:t>4</w:t>
      </w:r>
      <w:r>
        <w:rPr>
          <w:rFonts w:eastAsia="Times New Roman" w:cs="Times New Roman"/>
          <w:color w:val="000000" w:themeColor="text1"/>
          <w:szCs w:val="20"/>
          <w:u w:color="000000" w:themeColor="text1"/>
        </w:rPr>
        <w:noBreakHyphen/>
        <w:t xml:space="preserve">25.  To be eligible for selection the organization must be organized as a nonprofit organization and shall demonstrate to the municipality or county that it has an existing, ongoing tourism promotion program or that it can develop an effective tourism promotion program.  Immediately upon an allocation to the special fund, a municipality or county shall distribute the tourism promotion funds to the organizations selected or created to receive them.  Before the beginning of each fiscal year, an organization receiving funds from the accommodations tax from a municipality or county shall submit for approval a budget of planned expenditures.  At the end of each fiscal year, an organization receiving funds shall render an accounting of the expenditure to the municipality or county which distributed them.  </w:t>
      </w:r>
      <w:r>
        <w:rPr>
          <w:rFonts w:eastAsia="Times New Roman" w:cs="Times New Roman"/>
          <w:color w:val="000000" w:themeColor="text1"/>
          <w:szCs w:val="20"/>
          <w:u w:val="single" w:color="000000" w:themeColor="text1"/>
        </w:rPr>
        <w:t>Fees allocated pursuant to this subsection must not be used to pledge as security for bonds and to retire bonds.</w:t>
      </w:r>
      <w:r>
        <w:rPr>
          <w:rFonts w:eastAsia="Times New Roman" w:cs="Times New Roman"/>
          <w:color w:val="000000" w:themeColor="text1"/>
          <w:szCs w:val="20"/>
          <w:u w:color="000000" w:themeColor="text1"/>
        </w:rPr>
        <w:t>”</w:t>
      </w:r>
    </w:p>
    <w:p w:rsidR="005954E0" w:rsidRDefault="00595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954E0" w:rsidRDefault="004A4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5954E0" w:rsidRDefault="004A4A54" w:rsidP="00C4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lastRenderedPageBreak/>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5954E0" w:rsidSect="004A4A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54E0" w:rsidRDefault="005954E0" w:rsidP="005954E0">
      <w:r>
        <w:separator/>
      </w:r>
    </w:p>
  </w:endnote>
  <w:endnote w:type="continuationSeparator" w:id="1">
    <w:p w:rsidR="005954E0" w:rsidRDefault="005954E0" w:rsidP="005954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D25B9B-29A6-4102-A5A0-879D44540D5D}"/>
    <w:embedBold r:id="rId2" w:fontKey="{C0AB1B3F-F694-4B3C-9080-1A953B0FAB63}"/>
  </w:font>
  <w:font w:name="Calibri">
    <w:panose1 w:val="020F0502020204030204"/>
    <w:charset w:val="00"/>
    <w:family w:val="swiss"/>
    <w:pitch w:val="variable"/>
    <w:sig w:usb0="A00002EF" w:usb1="4000207B" w:usb2="00000000" w:usb3="00000000" w:csb0="0000009F" w:csb1="00000000"/>
    <w:embedRegular r:id="rId3" w:fontKey="{3B0F2AB8-2B2A-4A23-A4A6-69FC76677F47}"/>
  </w:font>
  <w:font w:name="Arial">
    <w:panose1 w:val="020B0604020202020204"/>
    <w:charset w:val="00"/>
    <w:family w:val="swiss"/>
    <w:pitch w:val="variable"/>
    <w:sig w:usb0="20002A87" w:usb1="80000000" w:usb2="00000008" w:usb3="00000000" w:csb0="000001FF" w:csb1="00000000"/>
    <w:embedBold r:id="rId4" w:fontKey="{903AE89B-B6FF-45CA-94A3-B208EB81F742}"/>
  </w:font>
  <w:font w:name="Tahoma">
    <w:panose1 w:val="020B0604030504040204"/>
    <w:charset w:val="00"/>
    <w:family w:val="swiss"/>
    <w:pitch w:val="variable"/>
    <w:sig w:usb0="61002A87" w:usb1="80000000" w:usb2="00000008" w:usb3="00000000" w:csb0="000101FF" w:csb1="00000000"/>
    <w:embedRegular r:id="rId5" w:fontKey="{14D9EAA1-4C36-44CB-9032-E6E39819B52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6" w:fontKey="{2962DB39-AF6A-4892-8C75-49B0AFDDE2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54E0" w:rsidRDefault="004A4A54">
    <w:pPr>
      <w:pStyle w:val="Footer"/>
      <w:tabs>
        <w:tab w:val="clear" w:pos="4680"/>
        <w:tab w:val="clear" w:pos="9360"/>
        <w:tab w:val="center" w:pos="2995"/>
      </w:tabs>
      <w:spacing w:before="120"/>
    </w:pPr>
    <w:r>
      <w:t>[304-</w:t>
    </w:r>
    <w:fldSimple w:instr=" PAGE  \* MERGEFORMAT ">
      <w:r w:rsidR="00C4457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4A54" w:rsidRDefault="004A4A54">
    <w:pPr>
      <w:pStyle w:val="Footer"/>
      <w:tabs>
        <w:tab w:val="clear" w:pos="4680"/>
        <w:tab w:val="clear" w:pos="9360"/>
        <w:tab w:val="center" w:pos="2995"/>
      </w:tabs>
      <w:spacing w:before="120"/>
    </w:pPr>
    <w:r>
      <w:t>[304]</w:t>
    </w:r>
    <w:r>
      <w:tab/>
    </w:r>
    <w:fldSimple w:instr=" PAGE  \* MERGEFORMAT ">
      <w:r w:rsidR="00C4457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54E0" w:rsidRDefault="005954E0" w:rsidP="005954E0">
      <w:r>
        <w:separator/>
      </w:r>
    </w:p>
  </w:footnote>
  <w:footnote w:type="continuationSeparator" w:id="1">
    <w:p w:rsidR="005954E0" w:rsidRDefault="005954E0" w:rsidP="005954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5954E0"/>
    <w:rsid w:val="000174E2"/>
    <w:rsid w:val="002A6F2D"/>
    <w:rsid w:val="00436BF1"/>
    <w:rsid w:val="004A4A54"/>
    <w:rsid w:val="005954E0"/>
    <w:rsid w:val="005B6D4B"/>
    <w:rsid w:val="005E40CA"/>
    <w:rsid w:val="00A63631"/>
    <w:rsid w:val="00AA1AFD"/>
    <w:rsid w:val="00AD080B"/>
    <w:rsid w:val="00C44576"/>
    <w:rsid w:val="00DF40CE"/>
    <w:rsid w:val="00EF77C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Body Text" w:uiPriority="0"/>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5954E0"/>
  </w:style>
  <w:style w:type="paragraph" w:styleId="Heading2">
    <w:name w:val="heading 2"/>
    <w:basedOn w:val="Normal"/>
    <w:next w:val="Normal"/>
    <w:link w:val="Heading2Char"/>
    <w:qFormat/>
    <w:rsid w:val="004A4A54"/>
    <w:pPr>
      <w:keepNext/>
      <w:widowControl w:val="0"/>
      <w:jc w:val="left"/>
      <w:outlineLvl w:val="1"/>
    </w:pPr>
    <w:rPr>
      <w:rFonts w:ascii="Arial" w:eastAsia="Times New Roman" w:hAnsi="Arial" w:cs="Times New Roman"/>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954E0"/>
    <w:rPr>
      <w:szCs w:val="21"/>
    </w:rPr>
  </w:style>
  <w:style w:type="character" w:customStyle="1" w:styleId="PlainTextChar">
    <w:name w:val="Plain Text Char"/>
    <w:basedOn w:val="DefaultParagraphFont"/>
    <w:link w:val="PlainText"/>
    <w:uiPriority w:val="99"/>
    <w:rsid w:val="005954E0"/>
    <w:rPr>
      <w:szCs w:val="21"/>
    </w:rPr>
  </w:style>
  <w:style w:type="paragraph" w:styleId="BodyText">
    <w:name w:val="Body Text"/>
    <w:basedOn w:val="Normal"/>
    <w:link w:val="BodyTextChar"/>
    <w:locked/>
    <w:rsid w:val="005954E0"/>
  </w:style>
  <w:style w:type="character" w:customStyle="1" w:styleId="BodyTextChar">
    <w:name w:val="Body Text Char"/>
    <w:basedOn w:val="DefaultParagraphFont"/>
    <w:link w:val="BodyText"/>
    <w:rsid w:val="005954E0"/>
  </w:style>
  <w:style w:type="paragraph" w:styleId="BalloonText">
    <w:name w:val="Balloon Text"/>
    <w:next w:val="Normal"/>
    <w:link w:val="BalloonTextChar"/>
    <w:uiPriority w:val="99"/>
    <w:unhideWhenUsed/>
    <w:rsid w:val="005954E0"/>
    <w:rPr>
      <w:rFonts w:cs="Tahoma"/>
      <w:szCs w:val="16"/>
    </w:rPr>
  </w:style>
  <w:style w:type="character" w:customStyle="1" w:styleId="BalloonTextChar">
    <w:name w:val="Balloon Text Char"/>
    <w:basedOn w:val="DefaultParagraphFont"/>
    <w:link w:val="BalloonText"/>
    <w:uiPriority w:val="99"/>
    <w:rsid w:val="005954E0"/>
    <w:rPr>
      <w:rFonts w:cs="Tahoma"/>
      <w:szCs w:val="16"/>
    </w:rPr>
  </w:style>
  <w:style w:type="paragraph" w:styleId="NormalWeb">
    <w:name w:val="Normal (Web)"/>
    <w:basedOn w:val="Normal"/>
    <w:next w:val="Normal"/>
    <w:semiHidden/>
    <w:locked/>
    <w:rsid w:val="005954E0"/>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5954E0"/>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5954E0"/>
    <w:rPr>
      <w:rFonts w:cs="Times New Roman"/>
    </w:rPr>
  </w:style>
  <w:style w:type="character" w:styleId="LineNumber">
    <w:name w:val="line number"/>
    <w:basedOn w:val="DefaultParagraphFont"/>
    <w:uiPriority w:val="99"/>
    <w:semiHidden/>
    <w:unhideWhenUsed/>
    <w:locked/>
    <w:rsid w:val="004A4A54"/>
  </w:style>
  <w:style w:type="paragraph" w:styleId="Header">
    <w:name w:val="header"/>
    <w:basedOn w:val="Normal"/>
    <w:link w:val="HeaderChar"/>
    <w:uiPriority w:val="99"/>
    <w:semiHidden/>
    <w:unhideWhenUsed/>
    <w:locked/>
    <w:rsid w:val="004A4A54"/>
    <w:pPr>
      <w:tabs>
        <w:tab w:val="center" w:pos="4680"/>
        <w:tab w:val="right" w:pos="9360"/>
      </w:tabs>
    </w:pPr>
  </w:style>
  <w:style w:type="character" w:customStyle="1" w:styleId="HeaderChar">
    <w:name w:val="Header Char"/>
    <w:basedOn w:val="DefaultParagraphFont"/>
    <w:link w:val="Header"/>
    <w:uiPriority w:val="99"/>
    <w:semiHidden/>
    <w:rsid w:val="004A4A54"/>
  </w:style>
  <w:style w:type="character" w:customStyle="1" w:styleId="Heading2Char">
    <w:name w:val="Heading 2 Char"/>
    <w:basedOn w:val="DefaultParagraphFont"/>
    <w:link w:val="Heading2"/>
    <w:rsid w:val="004A4A54"/>
    <w:rPr>
      <w:rFonts w:ascii="Arial" w:eastAsia="Times New Roman" w:hAnsi="Arial" w:cs="Times New Roman"/>
      <w:b/>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639</Words>
  <Characters>3647</Characters>
  <Application>Microsoft Office Word</Application>
  <DocSecurity>0</DocSecurity>
  <Lines>30</Lines>
  <Paragraphs>8</Paragraphs>
  <ScaleCrop>false</ScaleCrop>
  <Company>Project Management</Company>
  <LinksUpToDate>false</LinksUpToDate>
  <CharactersWithSpaces>4278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cp:lastPrinted>2009-05-13T23:51:00Z</cp:lastPrinted>
  <dcterms:created xsi:type="dcterms:W3CDTF">2009-05-13T23:53:00Z</dcterms:created>
  <dcterms:modified xsi:type="dcterms:W3CDTF">2009-05-13T23:53:00Z</dcterms:modified>
</cp:coreProperties>
</file>