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D17" w:rsidRDefault="00C66D17">
      <w:pPr>
        <w:pStyle w:val="BillDots"/>
      </w:pPr>
      <w:r>
        <w:t>POLLED OUT OF COMMITTEE</w:t>
      </w:r>
    </w:p>
    <w:p w:rsidR="00C66D17" w:rsidRDefault="00C66D17">
      <w:pPr>
        <w:pStyle w:val="BillDots"/>
      </w:pPr>
      <w:r>
        <w:t>MAJORITY FAVORABLE</w:t>
      </w:r>
    </w:p>
    <w:p w:rsidR="00C66D17" w:rsidRDefault="00C66D17">
      <w:pPr>
        <w:pStyle w:val="BillDots"/>
      </w:pPr>
      <w:r>
        <w:t>May 19, 2009</w:t>
      </w:r>
    </w:p>
    <w:p w:rsidR="00C66D17" w:rsidRDefault="00C66D17">
      <w:pPr>
        <w:pStyle w:val="BillDots"/>
      </w:pPr>
    </w:p>
    <w:p w:rsidR="00C66D17" w:rsidRPr="00C66D17" w:rsidRDefault="00C66D17" w:rsidP="00C66D17">
      <w:pPr>
        <w:pStyle w:val="BillDots"/>
        <w:tabs>
          <w:tab w:val="clear" w:pos="216"/>
          <w:tab w:val="clear" w:pos="432"/>
          <w:tab w:val="clear" w:pos="648"/>
          <w:tab w:val="clear" w:pos="864"/>
          <w:tab w:val="clear" w:pos="1080"/>
          <w:tab w:val="clear" w:pos="1296"/>
          <w:tab w:val="clear" w:pos="5904"/>
          <w:tab w:val="right" w:pos="5933"/>
        </w:tabs>
      </w:pPr>
      <w:r>
        <w:tab/>
      </w:r>
      <w:r>
        <w:rPr>
          <w:b/>
          <w:sz w:val="36"/>
        </w:rPr>
        <w:t>H. 3148</w:t>
      </w:r>
    </w:p>
    <w:p w:rsidR="00C66D17" w:rsidRDefault="00C66D17">
      <w:pPr>
        <w:pStyle w:val="BillDots"/>
      </w:pPr>
    </w:p>
    <w:p w:rsidR="00C66D17" w:rsidRDefault="00C66D17">
      <w:pPr>
        <w:pStyle w:val="BillDots"/>
      </w:pPr>
      <w:r>
        <w:t>Introduced by Reps. Clyburn, G.M. Smith, H.B. Brown, Branham, Ott, Agnew, R.L. Brown, Hayes, Battle, Miller, Weeks, J.R. Smith, D.C. Smith, Parks, Rice, Littlejohn, Hosey, Jefferson, Cobb</w:t>
      </w:r>
      <w:r>
        <w:noBreakHyphen/>
        <w:t>Hunter, Howard, Cooper, Gunn, McLeod, T.R. Young, Kennedy, Vick, Edge, J.E. Smith, Harrell, A.D. Young, Alexander, Neilson, Lucas, Merrill, Barfield, Bales, Allen, Hodges, Knight and Funderburk</w:t>
      </w:r>
    </w:p>
    <w:p w:rsidR="00C66D17" w:rsidRDefault="00C66D17">
      <w:pPr>
        <w:pStyle w:val="BillDots"/>
      </w:pPr>
    </w:p>
    <w:p w:rsidR="00C66D17" w:rsidRDefault="00C66D17">
      <w:pPr>
        <w:pStyle w:val="BillDots"/>
      </w:pPr>
      <w:r>
        <w:t>S. Printed 5/19/09--S.</w:t>
      </w:r>
    </w:p>
    <w:p w:rsidR="00C66D17" w:rsidRDefault="00C66D17">
      <w:pPr>
        <w:pStyle w:val="BillDots"/>
      </w:pPr>
      <w:r>
        <w:t>Read the first time April 14, 2009.</w:t>
      </w:r>
    </w:p>
    <w:p w:rsidR="00C66D17" w:rsidRPr="00C66D17" w:rsidRDefault="00C66D17" w:rsidP="00C66D17">
      <w:pPr>
        <w:pStyle w:val="BillDots"/>
        <w:jc w:val="center"/>
      </w:pPr>
      <w:r>
        <w:rPr>
          <w:u w:val="single"/>
        </w:rPr>
        <w:t>            </w:t>
      </w:r>
    </w:p>
    <w:p w:rsidR="00C66D17" w:rsidRDefault="00C66D17">
      <w:pPr>
        <w:pStyle w:val="BillDots"/>
      </w:pPr>
    </w:p>
    <w:p w:rsidR="00C66D17" w:rsidRPr="00C66D17" w:rsidRDefault="00C66D17" w:rsidP="00C66D17">
      <w:pPr>
        <w:pStyle w:val="BillDots"/>
        <w:jc w:val="center"/>
      </w:pPr>
      <w:r>
        <w:rPr>
          <w:b/>
        </w:rPr>
        <w:t>THE COMMITTEE ON FINANCE</w:t>
      </w:r>
    </w:p>
    <w:p w:rsidR="00C66D17" w:rsidRDefault="00C66D17">
      <w:pPr>
        <w:pStyle w:val="BillDots"/>
      </w:pPr>
      <w:r>
        <w:tab/>
        <w:t>To whom was referred a Bill (H. 3148) to amend the Code of Laws of South Carolina, 1976, by adding Chapter 50 to Title 11 so as to enact the “South Carolina Rural Infrastructure Act”, to establish , etc., respectfully</w:t>
      </w:r>
    </w:p>
    <w:p w:rsidR="00C66D17" w:rsidRPr="00C66D17" w:rsidRDefault="00C66D17" w:rsidP="00C66D17">
      <w:pPr>
        <w:pStyle w:val="BillDots"/>
        <w:jc w:val="center"/>
      </w:pPr>
      <w:r>
        <w:rPr>
          <w:b/>
        </w:rPr>
        <w:t>REPORT:</w:t>
      </w:r>
    </w:p>
    <w:p w:rsidR="00C66D17" w:rsidRDefault="00C66D17">
      <w:pPr>
        <w:pStyle w:val="BillDots"/>
      </w:pPr>
      <w:r>
        <w:tab/>
        <w:t>Has polled the Bill out majority favorable.</w:t>
      </w:r>
    </w:p>
    <w:p w:rsidR="00C66D17" w:rsidRDefault="00C66D17">
      <w:pPr>
        <w:pStyle w:val="BillDots"/>
      </w:pPr>
    </w:p>
    <w:p w:rsidR="005825B1" w:rsidRDefault="005825B1">
      <w:pPr>
        <w:pStyle w:val="BillDots"/>
        <w:sectPr w:rsidR="005825B1" w:rsidSect="005825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6C35" w:rsidRDefault="005D6C35">
      <w:pPr>
        <w:pStyle w:val="BillDots"/>
      </w:pPr>
    </w:p>
    <w:p w:rsidR="005D6C35" w:rsidRDefault="005D6C35">
      <w:pPr>
        <w:pStyle w:val="Numbersforbill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50</w:t>
      </w:r>
      <w:r>
        <w:noBreakHyphen/>
        <w:t>10.</w:t>
      </w:r>
      <w:r>
        <w:tab/>
      </w:r>
      <w:r>
        <w:tab/>
        <w:t>This chapter may be referred to as the ‘South Carolina Rural Infrastructure Act’.</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50</w:t>
      </w:r>
      <w:r>
        <w:noBreakHyphen/>
        <w:t>20.</w:t>
      </w:r>
      <w:r>
        <w:tab/>
      </w:r>
      <w:r>
        <w:tab/>
        <w:t>The General Assembly finds that: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30.</w:t>
      </w:r>
      <w:r>
        <w:tab/>
      </w:r>
      <w:r>
        <w:tab/>
        <w:t>(A)</w:t>
      </w:r>
      <w:r>
        <w:tab/>
        <w:t xml:space="preserve">There is created a body corporate and politic and an instrumentality of the State to be known as the South Carolina Rural Infrastructure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40.</w:t>
      </w:r>
      <w:r>
        <w:tab/>
      </w:r>
      <w:r>
        <w:tab/>
        <w:t xml:space="preserve">As used in this chapter unless the context clearly indicates otherwise: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‘Authority’ means the South Carolina Rural Infrastructure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 xml:space="preserve">‘Board’ means the board of directors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‘Eligible cost’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‘Eligible project’ means rural infrastructure as defined in item (13).</w:t>
      </w:r>
    </w:p>
    <w:p w:rsidR="005D6C35" w:rsidRDefault="00A8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(5)</w:t>
      </w:r>
      <w:r w:rsidRPr="00654D79">
        <w:tab/>
        <w:t>‘Eligible entity’ means a municipality, county, special purpose or public service district, and public works commission. The term ‘eligible project’ also includes a not-for-profit water company.</w:t>
      </w:r>
      <w:r w:rsidRPr="00654D79">
        <w:tab/>
      </w:r>
      <w:r w:rsidR="005825B1">
        <w:t xml:space="preserv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‘Financing agreement’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‘financing agreement’ includes, without limitation, a loan agreement, trust indenture, security agreement, reimbursement agreement, guarantee agreement, bond or note, ordinance or resolution, or similar instrument.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‘Loan’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‘Loan obligation’ means a bond, note, or other evidence of an obligation issued by a qualified borrower.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‘Qualified borrower’ means any eligible entity which is authorized to construct, operate, or own a qualified project.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‘Qualified project’ means an eligible project which has been selected by the authority to receive a loan or other financial assistance from the authority to defray an eligible cost.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‘Revenues’ means, when used with respect to the authority, any receipts, fees, income, or other payments received or to be received by the authority including, without limitation, receipts </w:t>
      </w:r>
      <w:r>
        <w:lastRenderedPageBreak/>
        <w:t>and other payments deposited in the Rural Infrastructure Fund and investment earnings on the Rural Infrastructure Fund.</w:t>
      </w:r>
    </w:p>
    <w:p w:rsidR="005D6C35" w:rsidRDefault="00A8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(13)</w:t>
      </w:r>
      <w:r w:rsidRPr="00654D79">
        <w:tab/>
        <w:t>‘Rural infrastructure project’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Pr="00654D79">
        <w:noBreakHyphen/>
        <w:t>6</w:t>
      </w:r>
      <w:r w:rsidRPr="00654D79">
        <w:noBreakHyphen/>
        <w:t>3360 for 2008 or located in a county with a project that otherwise meets the requirements of this item.  A rural infrastructure project also includes water supply and aquaculture projects.</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50.</w:t>
      </w:r>
      <w:r>
        <w:tab/>
      </w:r>
      <w:r>
        <w:tab/>
        <w:t>The board of directors is the governing board of the authority.  The board consists of seven voting directors appointed as follows:</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six members who reside in counties designated as distressed or least developed pursuant to Section 12</w:t>
      </w:r>
      <w:r>
        <w:noBreakHyphen/>
        <w:t>6</w:t>
      </w:r>
      <w:r>
        <w:noBreakHyphen/>
        <w:t>3360 for 2008; two each appointed by the Speaker of the House, the President Pro Tempore of the Senate, and the Governor; and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Secretary of Commerce, ex officio, who shall serve as chairman.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Appointed members shall serve for terms of four years and until their successors are appointed and qualify except that of the two members first appointed by the Speaker of the House, President Pro Tempore of the Senate, and the Governor, one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60.</w:t>
      </w:r>
      <w:r>
        <w:tab/>
      </w:r>
      <w:r>
        <w:tab/>
        <w:t>(A)</w:t>
      </w:r>
      <w:r>
        <w:tab/>
        <w:t xml:space="preserve">In addition to the powers contained elsewhere in this chapter, the authority has all power necessary, </w:t>
      </w:r>
      <w:r>
        <w:lastRenderedPageBreak/>
        <w:t xml:space="preserve">useful, or appropriate to fund, operate, and administer the authority, and to perform its other functions including, but not limited to, the power to: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adopt, promulgate, amend, and repeal bylaws, not inconsistent with provisions in this chapter for the administration of the authority’s affairs and the implementation of its functions including the right of the board to select qualifying projects and to provide loans and other financial assistance;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noBreakHyphen/>
        <w:t xml:space="preserve">insurer against any and all such losses;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subject to the provisions of Article 1, Chapter 23 of Title 1, the Administrative Procedures Act.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70.</w:t>
      </w:r>
      <w:r>
        <w:tab/>
      </w:r>
      <w:r>
        <w:tab/>
        <w:t xml:space="preserve">The following sources may be used to capitalize the Rural Infrastructure Fund and for the authority to carry out its purposes: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federal funds made available to the State;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authority’s monies; and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100.</w:t>
      </w:r>
      <w:r>
        <w:tab/>
      </w:r>
      <w:r>
        <w:tab/>
        <w:t>(A)</w:t>
      </w:r>
      <w:r>
        <w:tab/>
        <w:t xml:space="preserve">Eligible entities are authorized to obtain loans or other financial assistance from the authority through financing agreements.  Qualified borrowers entering into </w:t>
      </w:r>
      <w:r>
        <w:lastRenderedPageBreak/>
        <w:t xml:space="preserve">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contracts to which the State is a party or judgments of a court binding on the State.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noBreakHyphen/>
        <w:t>50</w:t>
      </w:r>
      <w:r>
        <w:noBreakHyphen/>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140.</w:t>
      </w:r>
      <w:r>
        <w:tab/>
      </w:r>
      <w:r>
        <w:tab/>
        <w:t xml:space="preserve">Notice, proceeding, or publication, except those required in this chapter, are not necessary to the performance of any act authorized in this chapter nor is any act of the authority subject to any referendum.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noBreakHyphen/>
        <w:t>9</w:t>
      </w:r>
      <w:r>
        <w:noBreakHyphen/>
        <w:t>660.</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180.</w:t>
      </w:r>
      <w:r>
        <w:tab/>
      </w:r>
      <w:r>
        <w:tab/>
        <w:t xml:space="preserve">If any provision of this chapter is held or determined to be unconstitutional, invalid, or otherwise unenforceable by a court of competent jurisdiction, it is the </w:t>
      </w:r>
      <w:r>
        <w:lastRenderedPageBreak/>
        <w:t>intention of the General Assembly that the provision is severable from the remaining provisions of the chapter and that the holding does not invalidate or render unenforceable another provision of the chapter.”</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C35" w:rsidRDefault="005D6C35" w:rsidP="002309CF">
      <w:pPr>
        <w:suppressAutoHyphens/>
      </w:pPr>
    </w:p>
    <w:sectPr w:rsidR="005D6C35" w:rsidSect="005825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C35" w:rsidRDefault="005825B1">
      <w:r>
        <w:separator/>
      </w:r>
    </w:p>
  </w:endnote>
  <w:endnote w:type="continuationSeparator" w:id="1">
    <w:p w:rsidR="005D6C35" w:rsidRDefault="005825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54DC7A-55F7-4850-A517-A80274038CA0}"/>
    <w:embedBold r:id="rId2" w:fontKey="{893F1127-05FB-4CFD-BA65-571A5308526D}"/>
  </w:font>
  <w:font w:name="Calibri">
    <w:panose1 w:val="020F0502020204030204"/>
    <w:charset w:val="00"/>
    <w:family w:val="swiss"/>
    <w:pitch w:val="variable"/>
    <w:sig w:usb0="A00002EF" w:usb1="4000207B" w:usb2="00000000" w:usb3="00000000" w:csb0="0000009F" w:csb1="00000000"/>
    <w:embedRegular r:id="rId3" w:fontKey="{F0E65E49-4F06-4F10-89CC-C7ABF220B820}"/>
  </w:font>
  <w:font w:name="Cambria">
    <w:panose1 w:val="02040503050406030204"/>
    <w:charset w:val="00"/>
    <w:family w:val="roman"/>
    <w:pitch w:val="variable"/>
    <w:sig w:usb0="A00002EF" w:usb1="4000004B" w:usb2="00000000" w:usb3="00000000" w:csb0="0000009F" w:csb1="00000000"/>
    <w:embedRegular r:id="rId4" w:fontKey="{B49A206F-8FF4-4A73-9598-87E1497F11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C35" w:rsidRDefault="005825B1">
    <w:pPr>
      <w:pStyle w:val="Footer"/>
      <w:tabs>
        <w:tab w:val="clear" w:pos="4680"/>
        <w:tab w:val="clear" w:pos="9360"/>
        <w:tab w:val="center" w:pos="2995"/>
      </w:tabs>
      <w:spacing w:before="120"/>
    </w:pPr>
    <w:r>
      <w:t>[3148-</w:t>
    </w:r>
    <w:fldSimple w:instr=" PAGE  \* MERGEFORMAT ">
      <w:r w:rsidR="002309C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B1" w:rsidRDefault="005825B1">
    <w:pPr>
      <w:pStyle w:val="Footer"/>
      <w:tabs>
        <w:tab w:val="clear" w:pos="4680"/>
        <w:tab w:val="clear" w:pos="9360"/>
        <w:tab w:val="center" w:pos="2995"/>
      </w:tabs>
      <w:spacing w:before="120"/>
    </w:pPr>
    <w:r>
      <w:t>[3148]</w:t>
    </w:r>
    <w:r>
      <w:tab/>
    </w:r>
    <w:fldSimple w:instr=" PAGE  \* MERGEFORMAT ">
      <w:r w:rsidR="002309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C35" w:rsidRDefault="005825B1">
      <w:r>
        <w:separator/>
      </w:r>
    </w:p>
  </w:footnote>
  <w:footnote w:type="continuationSeparator" w:id="1">
    <w:p w:rsidR="005D6C35" w:rsidRDefault="005825B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3SD09"/>
    <w:docVar w:name="CoverBillType" w:val="b"/>
    <w:docVar w:name="docpath" w:val="L:\Council\bills\NBD\11083SD09.DOCX"/>
    <w:docVar w:name="dvBillNumber" w:val="3148"/>
    <w:docVar w:name="dvBillNumberPrefix" w:val="H. "/>
    <w:docVar w:name="dvOriginalBody" w:val="House"/>
    <w:docVar w:name="dvSteno" w:val="NBD"/>
    <w:docVar w:name="NameofBody" w:val="h"/>
    <w:docVar w:name="vgroup2" w:val="Council"/>
  </w:docVars>
  <w:rsids>
    <w:rsidRoot w:val="005D6C35"/>
    <w:rsid w:val="002309CF"/>
    <w:rsid w:val="005825B1"/>
    <w:rsid w:val="005D6C35"/>
    <w:rsid w:val="00660E08"/>
    <w:rsid w:val="00737075"/>
    <w:rsid w:val="00A83DFF"/>
    <w:rsid w:val="00BB1E4F"/>
    <w:rsid w:val="00C66D17"/>
    <w:rsid w:val="00EF53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C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D6C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C35"/>
    <w:rPr>
      <w:rFonts w:eastAsia="Times New Roman" w:cs="Times New Roman"/>
      <w:b/>
      <w:sz w:val="30"/>
      <w:szCs w:val="20"/>
    </w:rPr>
  </w:style>
  <w:style w:type="paragraph" w:styleId="Header">
    <w:name w:val="header"/>
    <w:basedOn w:val="Normal"/>
    <w:link w:val="HeaderChar"/>
    <w:uiPriority w:val="99"/>
    <w:semiHidden/>
    <w:unhideWhenUsed/>
    <w:rsid w:val="005D6C35"/>
    <w:pPr>
      <w:tabs>
        <w:tab w:val="center" w:pos="4320"/>
        <w:tab w:val="right" w:pos="8640"/>
      </w:tabs>
    </w:pPr>
  </w:style>
  <w:style w:type="character" w:customStyle="1" w:styleId="HeaderChar">
    <w:name w:val="Header Char"/>
    <w:basedOn w:val="DefaultParagraphFont"/>
    <w:link w:val="Header"/>
    <w:uiPriority w:val="99"/>
    <w:semiHidden/>
    <w:rsid w:val="005D6C35"/>
    <w:rPr>
      <w:rFonts w:eastAsia="Times New Roman" w:cs="Times New Roman"/>
      <w:szCs w:val="20"/>
    </w:rPr>
  </w:style>
  <w:style w:type="paragraph" w:styleId="Footer">
    <w:name w:val="footer"/>
    <w:basedOn w:val="Normal"/>
    <w:link w:val="FooterChar"/>
    <w:uiPriority w:val="99"/>
    <w:unhideWhenUsed/>
    <w:rsid w:val="005D6C35"/>
    <w:pPr>
      <w:tabs>
        <w:tab w:val="center" w:pos="4680"/>
        <w:tab w:val="right" w:pos="9360"/>
      </w:tabs>
    </w:pPr>
  </w:style>
  <w:style w:type="character" w:customStyle="1" w:styleId="FooterChar">
    <w:name w:val="Footer Char"/>
    <w:basedOn w:val="DefaultParagraphFont"/>
    <w:link w:val="Footer"/>
    <w:uiPriority w:val="99"/>
    <w:rsid w:val="005D6C35"/>
    <w:rPr>
      <w:rFonts w:eastAsia="Times New Roman" w:cs="Times New Roman"/>
      <w:szCs w:val="20"/>
    </w:rPr>
  </w:style>
  <w:style w:type="character" w:styleId="PageNumber">
    <w:name w:val="page number"/>
    <w:basedOn w:val="DefaultParagraphFont"/>
    <w:uiPriority w:val="99"/>
    <w:semiHidden/>
    <w:unhideWhenUsed/>
    <w:rsid w:val="005D6C35"/>
  </w:style>
  <w:style w:type="character" w:styleId="LineNumber">
    <w:name w:val="line number"/>
    <w:basedOn w:val="DefaultParagraphFont"/>
    <w:uiPriority w:val="99"/>
    <w:semiHidden/>
    <w:unhideWhenUsed/>
    <w:rsid w:val="005D6C35"/>
  </w:style>
  <w:style w:type="paragraph" w:customStyle="1" w:styleId="BillDots">
    <w:name w:val="Bill Dots"/>
    <w:basedOn w:val="Normal"/>
    <w:qFormat/>
    <w:rsid w:val="005D6C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D6C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3138</Words>
  <Characters>17887</Characters>
  <Application>Microsoft Office Word</Application>
  <DocSecurity>0</DocSecurity>
  <Lines>149</Lines>
  <Paragraphs>41</Paragraphs>
  <ScaleCrop>false</ScaleCrop>
  <Company> </Company>
  <LinksUpToDate>false</LinksUpToDate>
  <CharactersWithSpaces>20984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2009-05-19T23:59:00Z</cp:lastPrinted>
  <dcterms:created xsi:type="dcterms:W3CDTF">2009-05-20T00:00:00Z</dcterms:created>
  <dcterms:modified xsi:type="dcterms:W3CDTF">2009-05-20T00:00:00Z</dcterms:modified>
</cp:coreProperties>
</file>