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1976, BY ADDING ARTICLE 7 TO CHAPTER 5, TITLE 63 SO AS TO ENACT THE “MILITARY PARENT EQUAL PROTECTION ACT”, TO PROVIDE THAT A MILITARY PARENT’S MILITARY SERVICE SHALL NOT BE CONSIDERED A CHANGE IN CIRCUMSTANCE FOR PURPOSES OF CHILD CUSTODY AND VISITATION, TO PROVIDE THAT THE CUSTODIAL NONMILITARY PARENT MUST REASONABLY ACCOMMODATE THE MILITARY PARENT’S LEAVE SCHEDULE, TO PROVIDE THAT THE FAMILY COURT MAY HOLD AN EXPEDITED TEMPORARY HEARING TO ENSURE THAT THE MILITARY PARENT HAS ACCESS TO A MINOR CHILD, AND TO PROVIDE THAT AN INCREASE OR DECREASE IN EARNING CAPACITY DUE TO MILITARY SERVICE IS NOT CONSIDERED A PERMANENT CHANGE; AND BY ADDING SECTION 15</w:t>
      </w:r>
      <w:r>
        <w:noBreakHyphen/>
        <w:t>1</w:t>
      </w:r>
      <w:r>
        <w:noBreakHyphen/>
        <w:t>340 SO AS TO PROVIDE THAT A SERVICE MEMBER ENTITLED TO A STAY PURSUANT TO THE SERVICE MEMBERS CIVIL RELIEF ACT MAY SEEK RELIEF AND PROVIDE TESTIMONY BY ELECTRONIC MEANS UNDER CERTAIN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5,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Military Parent Equal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63</w:t>
      </w:r>
      <w:r>
        <w:rPr>
          <w:rFonts w:eastAsiaTheme="minorHAnsi"/>
          <w:szCs w:val="22"/>
        </w:rPr>
        <w:noBreakHyphen/>
        <w:t>5</w:t>
      </w:r>
      <w:r>
        <w:rPr>
          <w:rFonts w:eastAsiaTheme="minorHAnsi"/>
          <w:szCs w:val="22"/>
        </w:rPr>
        <w:noBreakHyphen/>
        <w:t>900.</w:t>
      </w:r>
      <w:r>
        <w:rPr>
          <w:rFonts w:eastAsiaTheme="minorHAnsi"/>
          <w:szCs w:val="22"/>
        </w:rPr>
        <w:tab/>
        <w:t>This article may be cited as the ‘Military Parent Equal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910.</w:t>
      </w:r>
      <w:r>
        <w:rPr>
          <w:rFonts w:eastAsiaTheme="minorHAnsi"/>
          <w:szCs w:val="22"/>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(A)(1)</w:t>
      </w:r>
      <w:r>
        <w:rPr>
          <w:rFonts w:eastAsiaTheme="minorHAnsi"/>
          <w:szCs w:val="22"/>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 family member to accompany the member on the deployment.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‘Military service or service’ includes a period during which a military parent remains subject to deployment orders and remains deployed on account of sickness, wounds, leave, or other lawful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‘Military parent’ means a natural parent or adoptive parent of a child under the age of eighteen whose parental rights have not been terminated by a court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920.</w:t>
      </w:r>
      <w:r>
        <w:rPr>
          <w:rFonts w:eastAsiaTheme="minorHAnsi"/>
          <w:szCs w:val="22"/>
        </w:rPr>
        <w:tab/>
        <w:t>(A)</w:t>
      </w:r>
      <w:r>
        <w:rPr>
          <w:rFonts w:eastAsiaTheme="minorHAnsi"/>
          <w:szCs w:val="22"/>
        </w:rPr>
        <w:tab/>
        <w:t>If a military parent is required to be separated from a child due to military service, a court shall not enter a final order modifying the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existing order establishing the terms of custody or visitation in place at the time a military parent is called to military service may be temporarily modified to make reasonable accommodation for the parties because of the military parent’s service.  A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(C)</w:t>
      </w:r>
      <w:r>
        <w:rPr>
          <w:rFonts w:eastAsiaTheme="minorHAnsi"/>
          <w:szCs w:val="22"/>
        </w:rPr>
        <w:tab/>
        <w:t>A temporary modification order issued pursuant to this section must provide that the military parent has custody of the child or reasonable visitation, whichever is applicable pursuant to the original order, with the child during a period of leave granted to the military parent during their military service.  If a temporary modification order is not issued pursuant to this section, the nonmilitary custodial parent shall make the child or children reasonably available to the military parent when the military parent has leave to ensure that the military parent has reasonable visitation and is able to visit the child 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930.</w:t>
      </w:r>
      <w:r>
        <w:rPr>
          <w:rFonts w:eastAsiaTheme="minorHAnsi"/>
          <w:szCs w:val="22"/>
        </w:rPr>
        <w:tab/>
        <w:t>(A)</w:t>
      </w:r>
      <w:r>
        <w:rPr>
          <w:rFonts w:eastAsiaTheme="minorHAnsi"/>
          <w:szCs w:val="22"/>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court shall temporarily modify the amount of child support for the duration of the military parent’s military service based on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 temporary modification must be the date the military parent begins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Upon return from military service, the military parent’s child support obligation prior to a temporary modification is automatically reinstated, effective on the date the military parent is released from service.  Within ninety days of the military parent’s release from service, either parent may make a subsequent request for modification to correspond to a change in the military parent’s nonservice related income or earning capacity.  A modification must be based upon the income or earning capacity of the military parent following the period of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(D)</w:t>
      </w:r>
      <w:r>
        <w:rPr>
          <w:rFonts w:eastAsiaTheme="minorHAnsi"/>
          <w:szCs w:val="22"/>
        </w:rPr>
        <w:tab/>
        <w:t>Except for modifying a child support obligation during military service pursuant to this section, a military parent’s income during military service must not be used to determine the military parent’s income or earning 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940.</w:t>
      </w:r>
      <w:r>
        <w:rPr>
          <w:rFonts w:eastAsiaTheme="minorHAnsi"/>
          <w:szCs w:val="22"/>
        </w:rPr>
        <w:tab/>
        <w:t>(A)</w:t>
      </w:r>
      <w:r>
        <w:rPr>
          <w:rFonts w:eastAsiaTheme="minorHAnsi"/>
          <w:szCs w:val="22"/>
        </w:rPr>
        <w:tab/>
        <w:t>Military necessity may preclude court adjudication before mobilization, and the parties are encouraged to negotiate mutually agreeable arrangements prior to mobilization.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nonmilitary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provision of custody, visitation, or child support agreed to by the parties pursuant to this section must not be deemed a substantial change of circumstances in an action for custody, visitation, or child support which occurs subsequent to termination of the military parent’s military service.  A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Pr>
          <w:rFonts w:eastAsiaTheme="minorHAnsi"/>
          <w:szCs w:val="22"/>
        </w:rPr>
        <w:noBreakHyphen/>
        <w:t>5</w:t>
      </w:r>
      <w:r>
        <w:rPr>
          <w:rFonts w:eastAsiaTheme="minorHAnsi"/>
          <w:szCs w:val="22"/>
        </w:rPr>
        <w:noBreakHyphen/>
        <w:t>950.</w:t>
      </w:r>
      <w:r>
        <w:rPr>
          <w:rFonts w:eastAsiaTheme="minorHAnsi"/>
          <w:szCs w:val="22"/>
        </w:rPr>
        <w:tab/>
        <w:t>In making determinations pursuant to this article, the court may award attorney’s fees and costs based on the court’s consideration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the failure of either party to reasonably accommodate the other party in custody, visitation, and support matters related to a military parent’s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unreasonable delay caused by either party in resolving custody, visitation, and support matters related to a military parent’s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failure of either party to timely provide income and earnings information to the other party;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other factors as the court may consider appropriate and as may be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1,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w:t>
      </w:r>
      <w:r>
        <w:rPr>
          <w:rFonts w:eastAsiaTheme="minorHAnsi"/>
          <w:szCs w:val="22"/>
        </w:rPr>
        <w:noBreakHyphen/>
        <w:t>1</w:t>
      </w:r>
      <w:r>
        <w:rPr>
          <w:rFonts w:eastAsiaTheme="minorHAnsi"/>
          <w:szCs w:val="22"/>
        </w:rPr>
        <w:noBreakHyphen/>
        <w:t>340.</w:t>
      </w:r>
      <w:r>
        <w:rPr>
          <w:rFonts w:eastAsiaTheme="minorHAnsi"/>
          <w:szCs w:val="22"/>
        </w:rPr>
        <w:tab/>
        <w:t>(A)</w:t>
      </w:r>
      <w:r>
        <w:rPr>
          <w:rFonts w:eastAsiaTheme="minorHAnsi"/>
          <w:szCs w:val="22"/>
        </w:rPr>
        <w:tab/>
        <w:t xml:space="preserve">A service member who is entitled to a stay in civil proceedings pursuant to the Service Members Civil </w:t>
      </w:r>
      <w:r>
        <w:rPr>
          <w:rFonts w:eastAsiaTheme="minorHAnsi"/>
          <w:szCs w:val="22"/>
        </w:rPr>
        <w:lastRenderedPageBreak/>
        <w:t>Relief Act, 50 U.S.C. App. Section 501, et seq. may elect to proceed while the service member is reasonably unavailable to appear in the geographical location in which the litigation is pursued and may seek relief and provide evidence through video</w:t>
      </w:r>
      <w:r>
        <w:rPr>
          <w:rFonts w:eastAsiaTheme="minorHAnsi"/>
          <w:szCs w:val="22"/>
        </w:rPr>
        <w:noBreakHyphen/>
        <w:t>conferencing, internet camera, email, or another reasonable electronic means.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another constitutional right.”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3.</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778327-79FA-4AD4-BE15-FA65C1858250}"/>
    <w:embedBold r:id="rId2" w:fontKey="{CDA13B42-FEB8-4334-8CD1-9E68D16D577D}"/>
  </w:font>
  <w:font w:name="Calibri">
    <w:panose1 w:val="020F0502020204030204"/>
    <w:charset w:val="00"/>
    <w:family w:val="swiss"/>
    <w:pitch w:val="variable"/>
    <w:sig w:usb0="A00002EF" w:usb1="4000207B" w:usb2="00000000" w:usb3="00000000" w:csb0="0000009F" w:csb1="00000000"/>
    <w:embedRegular r:id="rId3" w:fontKey="{112E6D26-C2EB-4AC2-97F2-556A0186DDEF}"/>
  </w:font>
  <w:font w:name="Cambria">
    <w:panose1 w:val="02040503050406030204"/>
    <w:charset w:val="00"/>
    <w:family w:val="roman"/>
    <w:pitch w:val="variable"/>
    <w:sig w:usb0="A00002EF" w:usb1="4000004B" w:usb2="00000000" w:usb3="00000000" w:csb0="0000009F" w:csb1="00000000"/>
    <w:embedRegular r:id="rId4" w:fontKey="{A87FAA12-2E79-471A-AE96-2515A2159A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[3171]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9ZW09"/>
    <w:docVar w:name="CoverBillType" w:val="b"/>
    <w:docVar w:name="docpath" w:val="L:\Council\bills\MS\7099ZW09.DOCX"/>
    <w:docVar w:name="dvBillNumber" w:val="317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1407</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2008-12-15T22:27:00Z</cp:lastPrinted>
  <dcterms:created xsi:type="dcterms:W3CDTF">2008-12-16T23:15:00Z</dcterms:created>
  <dcterms:modified xsi:type="dcterms:W3CDTF">2008-12-16T23:15:00Z</dcterms:modified>
</cp:coreProperties>
</file>