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 xml:space="preserve">TO ESTABLISH THE STROKE SYSTEMS OF CARE STUDY COMMITTEE WITHIN THE DEPARTMENT OF HEALTH AND ENVIRONMENTAL CONTROL TO DEVELOP RECOMMENDATIONS FOR A REGIONALLY ORGANIZED AND STATEWIDE COMPREHENSIVE PLAN FOR A STROKE SYSTEMS OF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stroke is the third leading cause of death in South Carolina resulting in 2,284 deaths and 14,002 hospitalizations that cost $395.8 million in 2006;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is among a group of Southeastern states with high stroke death rates commonly referred to as the “Stroke Belt”;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highest stroke rates within the State are clustered in counties along the Interstate 95 corridor, known as the buckle of the “Stroke Belt”, in which the African-American population is in excess of the state’s average and are 46 percent more likely to die from a stroke than Caucasians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stroke does not discriminate as to age and strikes young people—including infants and children;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ranked fifth in stroke mortality among the states and the District of Columbia in 2005;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urgent stroke care, inclusive of drugs that dissolve blood clots, otherwise known as thrombolytics, has been shown to improve stroke outcome;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time limits for the use of thrombolytics makes it critical that the patient be taken to the appropriate stroke treatment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science has concluded that fragmentation of the health care delivery system frequently results in suboptimal treatment, safety concerns, and inefficient use of health care resources and, accordingly, calls for the establishment of a coordinated system of care that integrates preventive care and treatment services and promotes patient access to evidence</w:t>
      </w:r>
      <w:r>
        <w:rPr>
          <w:rFonts w:eastAsiaTheme="minorHAnsi"/>
          <w:color w:val="000000" w:themeColor="text1"/>
          <w:szCs w:val="22"/>
          <w:u w:color="000000" w:themeColor="text1"/>
        </w:rPr>
        <w:noBreakHyphen/>
        <w:t>based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problem of access to coordinated and time sensitive stroke care is exacerbated in rural underserved areas due to inadequate access to neurological expertise;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in the best interest of this State and its residents to convene a study committee to conduct a review of state resources, and make recommendations for the establishment of a seamless system of care for stroke patients throughout South Carolina;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Department of Health and Environmental Control, American Heart Association/American Stroke Association, and other South Carolina health care organizations have made a commitment to support this legislation in the interest of South Carolina stroke patients.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established the Stroke Systems of Care Study Committee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physician actively involved in stroke care from each of the following 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neurology;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neuroradiology;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neurosurgery;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emergency medicine;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rehabilitation medicine;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internal medicine, general practice, or family practice actively involved in stroke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one emergency medical services provider actively involved in direct stroke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one registered professional nurse actively involved in direct stroke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representative of the South Carolina Office of Rural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physician or representative of an organization actively involved in addressing minority health issues;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one representative of the South Carolina Hospital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one administrator of an acute stroke rehabilitation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one representative from the American Stroke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the Deputy Commissioner of the South Carolina Department of Health and Environmental Control, Health Services Division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Director of the South Carolina Department of Health and Environmental Control Emergency Medical Services,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Director of the Department of Health and Environmental Control shall appoint the members and the chairperson of the committee, and the department shall provide staffing to the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Vacancies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Members of the study committee shall serve without mileage, per diem, and subsistence.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study committee shall develop a plan for a statewide stroke system of care using the resources of both the public and private sectors incorporating flexibility to best fit the needs of each region or locality.  The plan must include,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development and implementation of an urgent response system that is built on the Primary Stroke Center model, as designated by the Joint Commission’s primary stroke systems model;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develop a statewide system of care that includes a system for emergency transport services and provides appropriate care to stroke patients in the most timely manner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a plan to promote greater stroke prevention and more effective rehabilitation after stroke;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 develop a plan in which systems will be evaluated and monitored to demonstrate the impact on the burden of stroke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develop a plan for the public education and awareness on the signs and symptoms of stroke;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develop a plan to standardize stroke triage assessment tools that will be used by all certified EMS personnel and for the education of prehospital and hospital health care providers on the signs and symptoms of stroke;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identify a  strategy to reduce stroke and stroke treatment disparities among minority, rural, uninsured, and underinsured populations;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reach consensus on recommendations for policy and legislative changes that may be needed including, but not limited to, appropriations, designation of facilities based on stroke treatment capabilities, and program development and implementation based on national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developing the statewide stroke system of care, the stroke committee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compile and assess peer</w:t>
      </w:r>
      <w:r>
        <w:rPr>
          <w:rFonts w:eastAsiaTheme="minorHAnsi"/>
          <w:color w:val="000000" w:themeColor="text1"/>
          <w:szCs w:val="22"/>
          <w:u w:color="000000" w:themeColor="text1"/>
        </w:rPr>
        <w:noBreakHyphen/>
        <w:t>reviewed and evidence</w:t>
      </w:r>
      <w:r>
        <w:rPr>
          <w:rFonts w:eastAsiaTheme="minorHAnsi"/>
          <w:color w:val="000000" w:themeColor="text1"/>
          <w:szCs w:val="22"/>
          <w:u w:color="000000" w:themeColor="text1"/>
        </w:rPr>
        <w:noBreakHyphen/>
        <w:t>based clinical research and guidelines that provide or support recommended treatment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assess the capacity of the emergency medical services system and hospitals to deliver recommended treatments in a timely fashion;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coordinate with the state trauma regions for the purposes of coordinating the delivery of stroke care within those regions.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create criteria for the designation of acute stroke-capable hospitals within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carrying out the committee’s responsibilities, the chairperson of the committee may appoint subcommittees as appropriate and may utilize the knowledge and expertise of any individual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For purposes of this joint resolution, the “Joint Commission”means the independent, not</w:t>
      </w:r>
      <w:r>
        <w:rPr>
          <w:rFonts w:eastAsiaTheme="minorHAnsi"/>
          <w:color w:val="000000" w:themeColor="text1"/>
          <w:szCs w:val="22"/>
          <w:u w:color="000000" w:themeColor="text1"/>
        </w:rPr>
        <w:noBreakHyphen/>
        <w:t>for</w:t>
      </w:r>
      <w:r>
        <w:rPr>
          <w:rFonts w:eastAsiaTheme="minorHAnsi"/>
          <w:color w:val="000000" w:themeColor="text1"/>
          <w:szCs w:val="22"/>
          <w:u w:color="000000" w:themeColor="text1"/>
        </w:rPr>
        <w:noBreakHyphen/>
        <w:t xml:space="preserve">profit organization that accredits and certifies more than 15,000 health care organizations and programs in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(E)</w:t>
      </w:r>
      <w:r>
        <w:rPr>
          <w:rFonts w:eastAsiaTheme="minorHAnsi"/>
          <w:color w:val="000000" w:themeColor="text1"/>
          <w:szCs w:val="22"/>
          <w:u w:color="000000" w:themeColor="text1"/>
        </w:rPr>
        <w:tab/>
        <w:t xml:space="preserve">The committee shall meet as often is necessary and shall convene no later than sixty days after the effective date and at a time when at least a majority of the members have been appointed. The committee shall submit its report to the General Assembly and the Governor no later than December 31, 2010, at which time the committee is abolished.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 This resolution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B8FE8D-D177-44F2-A9ED-4D0E1FE5D59D}"/>
    <w:embedBold r:id="rId2" w:fontKey="{63C70013-8145-47AD-A326-3D70DFD5A680}"/>
  </w:font>
  <w:font w:name="Calibri">
    <w:panose1 w:val="020F0502020204030204"/>
    <w:charset w:val="00"/>
    <w:family w:val="swiss"/>
    <w:pitch w:val="variable"/>
    <w:sig w:usb0="A00002EF" w:usb1="4000207B" w:usb2="00000000" w:usb3="00000000" w:csb0="0000009F" w:csb1="00000000"/>
    <w:embedRegular r:id="rId3" w:fontKey="{387CE268-5304-4170-946E-254FD84912B1}"/>
  </w:font>
  <w:font w:name="Cambria">
    <w:panose1 w:val="02040503050406030204"/>
    <w:charset w:val="00"/>
    <w:family w:val="roman"/>
    <w:pitch w:val="variable"/>
    <w:sig w:usb0="A00002EF" w:usb1="4000004B" w:usb2="00000000" w:usb3="00000000" w:csb0="0000009F" w:csb1="00000000"/>
    <w:embedRegular r:id="rId4" w:fontKey="{1BFE9A09-D185-49F7-B96B-BBB06E428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2AC09"/>
    <w:docVar w:name="CoverBillType" w:val="j"/>
    <w:docVar w:name="docpath" w:val="L:\Council\bills\NBD\11132AC09.DOCX"/>
    <w:docVar w:name="dvBillNumber" w:val="337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2009-01-28T15:06:00Z</cp:lastPrinted>
  <dcterms:created xsi:type="dcterms:W3CDTF">2009-01-28T20:39:00Z</dcterms:created>
  <dcterms:modified xsi:type="dcterms:W3CDTF">2009-01-28T20:39:00Z</dcterms:modified>
</cp:coreProperties>
</file>