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cs="Arial"/>
        </w:rPr>
        <w:t>TO AMEND SECTION 1</w:t>
      </w:r>
      <w:r>
        <w:rPr>
          <w:rFonts w:cs="Arial"/>
        </w:rPr>
        <w:noBreakHyphen/>
        <w:t>30</w:t>
      </w:r>
      <w:r>
        <w:rPr>
          <w:rFonts w:cs="Arial"/>
        </w:rPr>
        <w:noBreakHyphen/>
        <w:t>10, AS AMENDED, CODE OF LAWS OF SOUTH CAROLINA, 1976, RELATING TO THE DEPARTMENTS OF STATE GOVERNMENT, SO AS TO REQUIRE ORGANIZATION AND REORGANIZATION OF EXECUTIVE DEPARTMENTS AND DISSOLUTION OF AGENCY DIVISIONS TO BE APPROVED BY THE GENERAL ASSEMBLY BY STATUTE, TO DELETE OBSOLETE PROVISIONS, REQUIRE AGENCIES TO REPORT RECOMMENDATIONS FOR MORE EFFICIENT AGENCY ADMINISTRATION TO THE GOVERNOR AND GENERAL ASSEMBLY OR TO REPORT THAT IT HAS NO RECOMMENDATIONS AND PROVIDE FOR THE DISPOSITION OF THESE REPORTS, AND REQUIRE AGENCIES TO SUBMIT FIVE</w:t>
      </w:r>
      <w:r>
        <w:rPr>
          <w:rFonts w:cs="Arial"/>
        </w:rPr>
        <w:noBreakHyphen/>
        <w:t xml:space="preserve">YEAR PLANS TO THE GOVERNOR AND GENERAL ASSEMBLY; </w:t>
      </w:r>
      <w:r>
        <w:t>TO AMEND SECTION 8</w:t>
      </w:r>
      <w:r>
        <w:noBreakHyphen/>
        <w:t>27</w:t>
      </w:r>
      <w:r>
        <w:noBreakHyphen/>
        <w:t>10, AS AMENDED, RELATING TO THE DEFINITION OF REPORT FOR THE PURPOSES OF THE EMPLOYMENT PROTECTION FOR REPORTS OF VIOLATIONS OF STATE OR FEDERAL LAW OR REGULATION, BY PROVIDING THAT A REPORT MAY BE A WRITTEN OR ORAL ALLEGATION OR TESTIMONY TO A LEGISLATIVE COMMITTEE; BY ADDING SECTION 8</w:t>
      </w:r>
      <w:r>
        <w:noBreakHyphen/>
        <w:t>27</w:t>
      </w:r>
      <w:r>
        <w:noBreakHyphen/>
        <w:t xml:space="preserve">60 SO AS TO PROVIDE THAT A SUMMARY OF THE PROVISIONS CONTAINED IN LAW PROTECTING EMPLOYEES FOR REPORTS OF VIOLATIONS OF STATE OR FEDERAL LAW OR REGULATION MUST BE POSTED ON THE INTERNET WEBSITE OF EACH PUBLIC BODY SUBJECT TO THE LAW; AND BY ADDING CHAPTER 2 TO TITLE 2 SO AS TO PROVIDE THAT THE STANDING COMMITTEES OF THE GENERAL ASSEMBLY HAVE A DUTY TO REVIEW AND STUDY THE OPERATIONS OF THE STATE AGENCIES WITHIN THE COMMITTEE’S </w:t>
      </w:r>
      <w:r>
        <w:lastRenderedPageBreak/>
        <w:t>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cs="Arial"/>
          <w:szCs w:val="22"/>
        </w:rPr>
        <w:t>Subsections (B) through (H) of Section 1</w:t>
      </w:r>
      <w:r>
        <w:rPr>
          <w:rFonts w:cs="Arial"/>
          <w:szCs w:val="22"/>
        </w:rPr>
        <w:noBreakHyphen/>
      </w:r>
      <w:r>
        <w:t>30</w:t>
      </w:r>
      <w:r>
        <w:noBreakHyphen/>
        <w:t>10 of the 1976 Code, as last amended by Act 114 of 2007,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tab/>
        <w:t xml:space="preserve">The governing authority of each department </w:t>
      </w:r>
      <w:r>
        <w:rPr>
          <w:strike/>
        </w:rPr>
        <w:t>shall be</w:t>
      </w:r>
      <w:r>
        <w:t xml:space="preserve"> </w:t>
      </w:r>
      <w:r>
        <w:rPr>
          <w:u w:val="single"/>
        </w:rPr>
        <w:t>is</w:t>
      </w:r>
      <w:r>
        <w:rPr>
          <w:strike/>
        </w:rPr>
        <w:t>either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t>(i)</w:t>
      </w:r>
      <w:r>
        <w:tab/>
      </w:r>
      <w:r>
        <w:tab/>
        <w:t>a director</w:t>
      </w:r>
      <w:r>
        <w:rPr>
          <w:strike/>
        </w:rPr>
        <w:t>, and in the case of the Department of Commerce, the</w:t>
      </w:r>
      <w:r>
        <w:t xml:space="preserve"> </w:t>
      </w:r>
      <w:r>
        <w:rPr>
          <w:u w:val="single"/>
        </w:rPr>
        <w:t>or a</w:t>
      </w:r>
      <w:r>
        <w:t xml:space="preserve"> secretary, who must be appointed by the Governor with the advice and consent of the Senate, subject to removal from office by the Governor pursuant to provisions of Section 1</w:t>
      </w:r>
      <w:r>
        <w:noBreakHyphen/>
        <w:t>3</w:t>
      </w:r>
      <w:r>
        <w:noBreakHyphen/>
        <w:t>240</w:t>
      </w:r>
      <w:r>
        <w:rPr>
          <w:u w:val="single"/>
        </w:rPr>
        <w:t>(B)</w:t>
      </w:r>
      <w:r>
        <w:t xml:space="preserve">; </w:t>
      </w:r>
      <w:r>
        <w:rPr>
          <w:strik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 xml:space="preserve">a seven member board to be appointed and constituted in a manner provided for by law; </w:t>
      </w:r>
      <w:r>
        <w:rPr>
          <w:strik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in the case of the Department of Agriculture and the Department of Education, the State Commissioner of Agriculture and the State Superintendent of Education, respectively, elected to office under the Constitution of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in the case of the Department of Transportation, a seven member commission constituted in a manner provided by law, and a Secretary of Transportation appointed by and serving at the pleasure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In making </w:t>
      </w:r>
      <w:r>
        <w:rPr>
          <w:strike/>
        </w:rPr>
        <w:t>appointments to boards and</w:t>
      </w:r>
      <w:r>
        <w:t xml:space="preserve"> </w:t>
      </w:r>
      <w:r>
        <w:rPr>
          <w:u w:val="single"/>
        </w:rPr>
        <w:t>an appointment</w:t>
      </w:r>
      <w:r>
        <w:t xml:space="preserve"> for </w:t>
      </w:r>
      <w:r>
        <w:rPr>
          <w:u w:val="single"/>
        </w:rPr>
        <w:t>a governing authority of a</w:t>
      </w:r>
      <w:r>
        <w:t xml:space="preserve"> department </w:t>
      </w:r>
      <w:r>
        <w:rPr>
          <w:strike/>
        </w:rPr>
        <w:t>directors</w:t>
      </w:r>
      <w:r>
        <w: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Each department </w:t>
      </w:r>
      <w:r>
        <w:rPr>
          <w:strike/>
        </w:rPr>
        <w:t>shall</w:t>
      </w:r>
      <w:r>
        <w:rPr>
          <w:u w:val="single"/>
        </w:rPr>
        <w:t>must</w:t>
      </w:r>
      <w:r>
        <w:t xml:space="preserve"> be organized into appropriate </w:t>
      </w:r>
      <w:r>
        <w:rPr>
          <w:strike/>
        </w:rPr>
        <w:t>divisions</w:t>
      </w:r>
      <w:r>
        <w:t xml:space="preserve"> </w:t>
      </w:r>
      <w:r>
        <w:rPr>
          <w:u w:val="single"/>
        </w:rPr>
        <w:t>subdivisions</w:t>
      </w:r>
      <w:r>
        <w:t xml:space="preserve"> by the governing authority of the department through further consolidation or </w:t>
      </w:r>
      <w:r>
        <w:rPr>
          <w:u w:val="single"/>
        </w:rPr>
        <w:t>further</w:t>
      </w:r>
      <w:r>
        <w:t xml:space="preserve"> subdivision.  The power to </w:t>
      </w:r>
      <w:r>
        <w:rPr>
          <w:u w:val="single"/>
        </w:rPr>
        <w:t>organize and</w:t>
      </w:r>
      <w:r>
        <w:t xml:space="preserve"> reorganize the department </w:t>
      </w:r>
      <w:r>
        <w:rPr>
          <w:strike/>
        </w:rPr>
        <w:t>supersedes any provision of law to the contrary pertaining to individual divisions;  provided, however, the</w:t>
      </w:r>
      <w:r>
        <w:t xml:space="preserve"> </w:t>
      </w:r>
      <w:r>
        <w:rPr>
          <w:u w:val="single"/>
        </w:rPr>
        <w:t>into divisions lies with the General Assembly in furtherance of its mandate pursuant to Article XII of the constitution of this State.  The</w:t>
      </w:r>
      <w:r>
        <w:t xml:space="preserve"> dissolution of any division must </w:t>
      </w:r>
      <w:r>
        <w:rPr>
          <w:strike/>
        </w:rPr>
        <w:t>receive legislative approval by authorization included in the annual general appropriations act</w:t>
      </w:r>
      <w:r>
        <w:t xml:space="preserve"> </w:t>
      </w:r>
      <w:r>
        <w:rPr>
          <w:u w:val="single"/>
        </w:rPr>
        <w:t>likewise be statutorily approved by the General Assembly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Any other approval procedures for department reorganization in effect on the effective date of this act no longer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u w:val="single"/>
        </w:rPr>
        <w:t>governing authority of a</w:t>
      </w:r>
      <w:r>
        <w:t xml:space="preserve"> department </w:t>
      </w:r>
      <w:r>
        <w:rPr>
          <w:strike/>
        </w:rPr>
        <w:t>director</w:t>
      </w:r>
      <w:r>
        <w:t xml:space="preserve"> may appoint </w:t>
      </w:r>
      <w:r>
        <w:rPr>
          <w:strike/>
        </w:rPr>
        <w:t>deputy directors</w:t>
      </w:r>
      <w:r>
        <w:t xml:space="preserve"> </w:t>
      </w:r>
      <w:r>
        <w:rPr>
          <w:u w:val="single"/>
        </w:rPr>
        <w:t>deputies</w:t>
      </w:r>
      <w:r>
        <w:t xml:space="preserve"> to head the divisions of their department, with each deputy </w:t>
      </w:r>
      <w:r>
        <w:rPr>
          <w:strike/>
        </w:rPr>
        <w:t>director</w:t>
      </w:r>
      <w:r>
        <w:t xml:space="preserve"> managing one or more of the divisions; in the case of the Department of Commerce, the Secretary of Commerce may appoint a departmental executive director and also may appoint directors to manage the various </w:t>
      </w:r>
      <w:r>
        <w:lastRenderedPageBreak/>
        <w:t xml:space="preserve">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Pr>
          <w:strike/>
        </w:rPr>
        <w:t>Deputy directors</w:t>
      </w:r>
      <w:r>
        <w:t xml:space="preserve"> </w:t>
      </w:r>
      <w:r>
        <w:rPr>
          <w:u w:val="single"/>
        </w:rPr>
        <w:t>Deputies</w:t>
      </w:r>
      <w:r>
        <w:t xml:space="preserve"> serve at the will and pleasure of the </w:t>
      </w:r>
      <w:r>
        <w:rPr>
          <w:strike/>
        </w:rPr>
        <w:t>department director</w:t>
      </w:r>
      <w:r>
        <w:t xml:space="preserve"> </w:t>
      </w:r>
      <w:r>
        <w:rPr>
          <w:u w:val="single"/>
        </w:rPr>
        <w:t>governing authority</w:t>
      </w:r>
      <w:r>
        <w:t xml:space="preserve">.  The deputy </w:t>
      </w:r>
      <w:r>
        <w:rPr>
          <w:strike/>
        </w:rPr>
        <w:t>director</w:t>
      </w:r>
      <w:r>
        <w:t xml:space="preserve"> of a division is vested with the duty of overseeing, managing, and controlling the operation and administration of the division under the direction and control of the </w:t>
      </w:r>
      <w:r>
        <w:rPr>
          <w:strike/>
        </w:rPr>
        <w:t>department director</w:t>
      </w:r>
      <w:r>
        <w:t xml:space="preserve"> </w:t>
      </w:r>
      <w:r>
        <w:rPr>
          <w:u w:val="single"/>
        </w:rPr>
        <w:t>department’s governing authority</w:t>
      </w:r>
      <w:r>
        <w:t xml:space="preserve">  and performing such other duties as delegated by the </w:t>
      </w:r>
      <w:r>
        <w:rPr>
          <w:strike/>
        </w:rPr>
        <w:t>department director</w:t>
      </w:r>
      <w:r>
        <w:t xml:space="preserve"> </w:t>
      </w:r>
      <w:r>
        <w:rPr>
          <w:u w:val="single"/>
        </w:rPr>
        <w:t>department’s governing authority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Pr>
          <w:strike/>
        </w:rPr>
        <w:t>(1)</w:t>
      </w:r>
      <w:r>
        <w:tab/>
      </w:r>
      <w:r>
        <w:rPr>
          <w:strike/>
        </w:rPr>
        <w:t>In the event</w:t>
      </w:r>
      <w:r>
        <w:rPr>
          <w:u w:val="single"/>
        </w:rPr>
        <w:t>If</w:t>
      </w:r>
      <w:r>
        <w:t xml:space="preserve"> a vacancy </w:t>
      </w:r>
      <w:r>
        <w:rPr>
          <w:strike/>
        </w:rPr>
        <w:t>should occur</w:t>
      </w:r>
      <w:r>
        <w:t xml:space="preserve"> </w:t>
      </w:r>
      <w:r>
        <w:rPr>
          <w:u w:val="single"/>
        </w:rPr>
        <w:t>occurs</w:t>
      </w:r>
      <w:r>
        <w:t xml:space="preserve"> in the office of </w:t>
      </w:r>
      <w:r>
        <w:rPr>
          <w:strike/>
        </w:rPr>
        <w:t>department director</w:t>
      </w:r>
      <w:r>
        <w:t xml:space="preserve"> </w:t>
      </w:r>
      <w:r>
        <w:rPr>
          <w:u w:val="single"/>
        </w:rPr>
        <w:t>the department’s governing authority</w:t>
      </w:r>
      <w:r>
        <w:t xml:space="preserve"> at a time when the General Assembly is not in session, the Governor may temporarily fill the vacancy pursuant to Section 1</w:t>
      </w:r>
      <w:r>
        <w:noBreakHyphen/>
        <w:t>3</w:t>
      </w:r>
      <w:r>
        <w:noBreakHyphen/>
        <w:t>210.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w:t>
      </w:r>
      <w:r>
        <w:tab/>
      </w:r>
      <w:r>
        <w:tab/>
      </w:r>
      <w:r>
        <w:rPr>
          <w:strike/>
        </w:rPr>
        <w:t>Department of Corrections, created pursuant to Section 1</w:t>
      </w:r>
      <w:r>
        <w:rPr>
          <w:strike/>
        </w:rPr>
        <w:noBreakHyphen/>
        <w:t>30</w:t>
      </w:r>
      <w:r>
        <w:rPr>
          <w:strike/>
        </w:rPr>
        <w:noBreakHyphen/>
        <w:t>30, by the director of the former Department of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w:t>
      </w:r>
      <w:r>
        <w:tab/>
      </w:r>
      <w:r>
        <w:rPr>
          <w:strike/>
        </w:rPr>
        <w:t>Department of Juvenile Justice created pursuant to Section 1</w:t>
      </w:r>
      <w:r>
        <w:rPr>
          <w:strike/>
        </w:rPr>
        <w:noBreakHyphen/>
        <w:t>30</w:t>
      </w:r>
      <w:r>
        <w:rPr>
          <w:strike/>
        </w:rPr>
        <w:noBreakHyphen/>
        <w:t>60, by the interim director of the former Department of Youth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(iii)</w:t>
      </w:r>
      <w:r>
        <w:tab/>
      </w:r>
      <w:r>
        <w:rPr>
          <w:strike/>
        </w:rPr>
        <w:t>Department of Probation, Parole, and Pardon Services created pursuant to Section 1</w:t>
      </w:r>
      <w:r>
        <w:rPr>
          <w:strike/>
        </w:rPr>
        <w:noBreakHyphen/>
        <w:t>30</w:t>
      </w:r>
      <w:r>
        <w:rPr>
          <w:strike/>
        </w:rPr>
        <w:noBreakHyphen/>
        <w:t>85 by the director of the former Department of Probation, Pardon and Parole;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(iv)</w:t>
      </w:r>
      <w:r>
        <w:tab/>
      </w:r>
      <w:r>
        <w:rPr>
          <w:strike/>
        </w:rPr>
        <w:t>Department of Social Services created pursuant to Section 1</w:t>
      </w:r>
      <w:r>
        <w:rPr>
          <w:strike/>
        </w:rPr>
        <w:noBreakHyphen/>
        <w:t>30</w:t>
      </w:r>
      <w:r>
        <w:rPr>
          <w:strike/>
        </w:rPr>
        <w:noBreakHyphen/>
        <w:t>100, by the director of the former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w:t>
      </w:r>
      <w:r>
        <w:tab/>
      </w:r>
      <w:r>
        <w:rPr>
          <w:strike/>
        </w:rPr>
        <w:t>Department of Parks, Recreation and Tourism created pursuant to Section 1</w:t>
      </w:r>
      <w:r>
        <w:rPr>
          <w:strike/>
        </w:rPr>
        <w:noBreakHyphen/>
        <w:t>30</w:t>
      </w:r>
      <w:r>
        <w:rPr>
          <w:strike/>
        </w:rPr>
        <w:noBreakHyphen/>
        <w:t>80, by the director of the former Department of Parks, Recreation and Tourism;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Pr>
          <w:strike/>
        </w:rPr>
        <w:t>(vi)</w:t>
      </w:r>
      <w:r>
        <w:tab/>
      </w:r>
      <w:r>
        <w:rPr>
          <w:strike/>
        </w:rPr>
        <w:t>Department of Commerce created pursuant to Section 1</w:t>
      </w:r>
      <w:r>
        <w:rPr>
          <w:strike/>
        </w:rPr>
        <w:noBreakHyphen/>
        <w:t>30</w:t>
      </w:r>
      <w:r>
        <w:rPr>
          <w:strike/>
        </w:rPr>
        <w:noBreakHyphen/>
        <w:t>25, by the Executive Director of the former State Development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(vii)</w:t>
      </w:r>
      <w:r>
        <w:tab/>
      </w:r>
      <w:r>
        <w:rPr>
          <w:strike/>
        </w:rPr>
        <w:t>Department of Alcohol and Other Drug Abuse Services created pursuant to Section 1</w:t>
      </w:r>
      <w:r>
        <w:rPr>
          <w:strike/>
        </w:rPr>
        <w:noBreakHyphen/>
        <w:t>30</w:t>
      </w:r>
      <w:r>
        <w:rPr>
          <w:strike/>
        </w:rPr>
        <w:noBreakHyphen/>
        <w:t>20, by the director of the former South Carolina Commission on Alcohol and Drug Abuse.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ab/>
      </w:r>
      <w:r>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ab/>
      </w:r>
      <w:r>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t xml:space="preserve">Department </w:t>
      </w:r>
      <w:r>
        <w:rPr>
          <w:u w:val="single"/>
        </w:rPr>
        <w:t>and agency</w:t>
      </w:r>
      <w:r>
        <w:t xml:space="preserve"> governing authorities </w:t>
      </w:r>
      <w:r>
        <w:rPr>
          <w:strike/>
        </w:rPr>
        <w:t>must</w:t>
      </w:r>
      <w:r>
        <w:t xml:space="preserve">, no later than the first day of the </w:t>
      </w:r>
      <w:r>
        <w:rPr>
          <w:strike/>
        </w:rPr>
        <w:t>1994</w:t>
      </w:r>
      <w:r>
        <w:t xml:space="preserve"> </w:t>
      </w:r>
      <w:r>
        <w:rPr>
          <w:u w:val="single"/>
        </w:rPr>
        <w:t>2010</w:t>
      </w:r>
      <w:r>
        <w:t xml:space="preserve"> legislative session and every twelve months thereafter </w:t>
      </w:r>
      <w:r>
        <w:rPr>
          <w:strike/>
        </w:rPr>
        <w:t>for the following three years</w:t>
      </w:r>
      <w:r>
        <w:t xml:space="preserve">, </w:t>
      </w:r>
      <w:r>
        <w:rPr>
          <w:u w:val="single"/>
        </w:rPr>
        <w:t>shall</w:t>
      </w:r>
      <w: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Pr>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t xml:space="preserve">  </w:t>
      </w:r>
      <w:r>
        <w:rPr>
          <w:strike/>
        </w:rPr>
        <w:t>Thereafter,</w:t>
      </w:r>
      <w:r>
        <w:t xml:space="preserve"> The Governor </w:t>
      </w:r>
      <w:r>
        <w:rPr>
          <w:strike/>
        </w:rPr>
        <w:t>shall</w:t>
      </w:r>
      <w:r>
        <w:t xml:space="preserve"> periodically </w:t>
      </w:r>
      <w:r>
        <w:rPr>
          <w:u w:val="single"/>
        </w:rPr>
        <w:t>shall</w:t>
      </w:r>
      <w:r>
        <w:t xml:space="preserve"> consult with the governing authorities of the various departments and upon such consultation</w:t>
      </w:r>
      <w:r>
        <w:rPr>
          <w:u w:val="single"/>
        </w:rPr>
        <w:t>,</w:t>
      </w:r>
      <w:r>
        <w:t xml:space="preserve"> the Governor shall submit a report of any </w:t>
      </w:r>
      <w:r>
        <w:rPr>
          <w:u w:val="single"/>
        </w:rPr>
        <w:t>restructuring</w:t>
      </w:r>
      <w:r>
        <w:t xml:space="preserve"> recommendations to the General Assembly for </w:t>
      </w:r>
      <w:r>
        <w:rPr>
          <w:u w:val="single"/>
        </w:rPr>
        <w:t>its</w:t>
      </w:r>
      <w:r>
        <w:t xml:space="preserve"> review and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Pr>
          <w:strike/>
        </w:rPr>
        <w:t xml:space="preserve">The Governor shall report to the General Assembly no later than the second Tuesday in January of 1994, his recommendation for restructuring the following offices and divisions presently under his direct supervision, and as to how each </w:t>
      </w:r>
      <w:r>
        <w:rPr>
          <w:strike/>
        </w:rPr>
        <w:lastRenderedPageBreak/>
        <w:t>might be restructured within other appropriate departments or divisions amended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w:t>
      </w:r>
      <w:r>
        <w:tab/>
      </w:r>
      <w:r>
        <w:tab/>
      </w:r>
      <w:r>
        <w:tab/>
      </w:r>
      <w:r>
        <w:rPr>
          <w:strike/>
        </w:rPr>
        <w:t>Office of Executive Policy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w:t>
      </w:r>
      <w:r>
        <w:tab/>
      </w:r>
      <w:r>
        <w:tab/>
      </w:r>
      <w:r>
        <w:rPr>
          <w:strike/>
        </w:rPr>
        <w:t>Office of Energy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(iii)</w:t>
      </w:r>
      <w:r>
        <w:tab/>
      </w:r>
      <w:r>
        <w:tab/>
      </w:r>
      <w:r>
        <w:rPr>
          <w:strike/>
        </w:rPr>
        <w:t>Office of Personnel and Program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(iv)</w:t>
      </w:r>
      <w:r>
        <w:tab/>
      </w:r>
      <w:r>
        <w:tab/>
      </w:r>
      <w:r>
        <w:rPr>
          <w:strike/>
        </w:rPr>
        <w:t>Office of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w:t>
      </w:r>
      <w:r>
        <w:tab/>
      </w:r>
      <w:r>
        <w:tab/>
      </w:r>
      <w:r>
        <w:rPr>
          <w:strike/>
        </w:rPr>
        <w:t>Division of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w:t>
      </w:r>
      <w:r>
        <w:tab/>
      </w:r>
      <w:r>
        <w:tab/>
      </w:r>
      <w:r>
        <w:rPr>
          <w:strike/>
        </w:rPr>
        <w:t>Division of Economic Opportunity;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(vii)</w:t>
      </w:r>
      <w:r>
        <w:tab/>
      </w:r>
      <w:r>
        <w:tab/>
      </w:r>
      <w:r>
        <w:rPr>
          <w:strike/>
        </w:rPr>
        <w:t>Division of Economic of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(viii)</w:t>
      </w:r>
      <w:r>
        <w:tab/>
      </w:r>
      <w:r>
        <w:rPr>
          <w:strike/>
        </w:rPr>
        <w:t>Division of Ombudsman and Citizens’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(ix)</w:t>
      </w:r>
      <w:r>
        <w:tab/>
      </w:r>
      <w:r>
        <w:tab/>
      </w:r>
      <w:r>
        <w:rPr>
          <w:strike/>
        </w:rPr>
        <w:t>Division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(x)</w:t>
      </w:r>
      <w:r>
        <w:tab/>
      </w:r>
      <w:r>
        <w:tab/>
      </w:r>
      <w:r>
        <w:rPr>
          <w:strike/>
        </w:rPr>
        <w:t>Division of Natural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(xi)</w:t>
      </w:r>
      <w:r>
        <w:tab/>
      </w:r>
      <w:r>
        <w:tab/>
      </w:r>
      <w:r>
        <w:rPr>
          <w:strike/>
        </w:rPr>
        <w:t>Division of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Department and agency governing authorities, no later than the first day of the 2011 legislative session, and as part of the agency’s five</w:t>
      </w:r>
      <w:r>
        <w:rPr>
          <w:u w:val="single"/>
        </w:rPr>
        <w:noBreakHyphen/>
        <w:t>year oversight study and investigation conducted pursuant to Chapter 2, Title 2, shall submit to the Governor and the General Assembly a five</w:t>
      </w:r>
      <w:r>
        <w:rPr>
          <w:u w:val="single"/>
        </w:rPr>
        <w:noBreakHyphen/>
        <w:t>year plan that provides initiatives or planned actions or both initiatives or actions that implement cost savings and increased efficiencies of services and responsibilities within the projected five</w:t>
      </w:r>
      <w:r>
        <w:rPr>
          <w:u w:val="single"/>
        </w:rPr>
        <w:noBreakHyphen/>
        <w:t>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(H)</w:t>
      </w:r>
      <w:r>
        <w:tab/>
      </w:r>
      <w:r>
        <w:rPr>
          <w:strike/>
        </w:rPr>
        <w:t>Department governing authorities must submit to the General Assembly by the first day of the 1994 legislative session and every five years thereafter a mission statement that must be approved by the General Assembly by Joint Resolution.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Arial"/>
          <w:szCs w:val="22"/>
        </w:rPr>
        <w:t>SECTION</w:t>
      </w:r>
      <w:r>
        <w:rPr>
          <w:rFonts w:cs="Arial"/>
          <w:szCs w:val="22"/>
        </w:rPr>
        <w:tab/>
        <w:t>2.</w:t>
      </w:r>
      <w:r>
        <w:rPr>
          <w:rFonts w:cs="Arial"/>
          <w:szCs w:val="22"/>
        </w:rPr>
        <w:tab/>
      </w:r>
      <w:r>
        <w:t>Section 8</w:t>
      </w:r>
      <w:r>
        <w:noBreakHyphen/>
        <w:t>27</w:t>
      </w:r>
      <w:r>
        <w:noBreakHyphen/>
        <w:t>10(4) of the 1976 Code, as added by Act 164 of 1993,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‘Report’ means</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a written document alleging</w:t>
      </w:r>
      <w:r>
        <w:t xml:space="preserve"> </w:t>
      </w:r>
      <w:r>
        <w:rPr>
          <w:u w:val="single"/>
        </w:rPr>
        <w:t>a written or oral allegation of</w:t>
      </w:r>
      <w:r>
        <w:t xml:space="preserve"> waste or wrongdoing that contains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a</w:t>
      </w:r>
      <w:r>
        <w:rPr>
          <w:u w:val="single"/>
        </w:rPr>
        <w:t>i</w:t>
      </w:r>
      <w:r>
        <w:t>)</w:t>
      </w:r>
      <w:r>
        <w:tab/>
      </w:r>
      <w:r>
        <w:tab/>
        <w:t xml:space="preserve">the date of disclosure;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b</w:t>
      </w:r>
      <w:r>
        <w:rPr>
          <w:u w:val="single"/>
        </w:rPr>
        <w:t>ii</w:t>
      </w:r>
      <w:r>
        <w:t>)</w:t>
      </w:r>
      <w:r>
        <w:tab/>
      </w:r>
      <w:r>
        <w:tab/>
        <w:t xml:space="preserve">the name of the employee making the report;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t>(</w:t>
      </w:r>
      <w:r>
        <w:rPr>
          <w:strike/>
        </w:rPr>
        <w:t>c</w:t>
      </w:r>
      <w:r>
        <w:rPr>
          <w:u w:val="single"/>
        </w:rPr>
        <w:t>iii</w:t>
      </w:r>
      <w:r>
        <w:t>)</w:t>
      </w:r>
      <w:r>
        <w:tab/>
      </w:r>
      <w:r>
        <w:tab/>
        <w:t xml:space="preserve">the nature of the wrongdoing and the date or range of dates on which the wrongdoing allegedly occurred.  A report must be made within </w:t>
      </w:r>
      <w:r>
        <w:rPr>
          <w:strike/>
        </w:rPr>
        <w:t>sixty days</w:t>
      </w:r>
      <w:r>
        <w:t xml:space="preserve"> </w:t>
      </w:r>
      <w:r>
        <w:rPr>
          <w:u w:val="single"/>
        </w:rPr>
        <w:t>one hundred eighty days</w:t>
      </w:r>
      <w:r>
        <w:t xml:space="preserve"> of the date the reporting employee first learns of the alleged wrongdoing</w:t>
      </w:r>
      <w:r>
        <w:rPr>
          <w:strike/>
        </w:rPr>
        <w:t>.</w:t>
      </w:r>
      <w:r>
        <w:rPr>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Pr>
          <w:u w:val="single"/>
        </w:rPr>
        <w:t>sworn testimony regarding wrongdoing, regardless of when the wrongdoing allegedly occurred, given to any standing committee, subcommittee of a standing committee, or study committee of the Senate or the House of Representatives.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27,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27</w:t>
      </w:r>
      <w:r>
        <w:noBreakHyphen/>
        <w:t>60.</w:t>
      </w:r>
      <w:r>
        <w:tab/>
        <w:t>Each public body shall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annually shall provide a written summary of this chapter to its employees and maintain copies of the summary at all times.”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cs="Arial"/>
          <w:szCs w:val="22"/>
        </w:rPr>
        <w:t>SECTION</w:t>
      </w:r>
      <w:r>
        <w:rPr>
          <w:rFonts w:cs="Arial"/>
          <w:szCs w:val="22"/>
        </w:rPr>
        <w:tab/>
        <w:t>4.</w:t>
      </w:r>
      <w:r>
        <w:rPr>
          <w:rFonts w:cs="Arial"/>
          <w:szCs w:val="22"/>
        </w:rPr>
        <w:tab/>
      </w:r>
      <w:r>
        <w:rPr>
          <w:szCs w:val="22"/>
        </w:rPr>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“CHAPTER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Legislative Oversight of Executive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szCs w:val="22"/>
        </w:rPr>
        <w:tab/>
        <w:t>Section 2</w:t>
      </w:r>
      <w:r>
        <w:rPr>
          <w:color w:val="000000"/>
          <w:szCs w:val="22"/>
        </w:rPr>
        <w:noBreakHyphen/>
        <w:t>2</w:t>
      </w:r>
      <w:r>
        <w:rPr>
          <w:color w:val="000000"/>
          <w:szCs w:val="22"/>
        </w:rPr>
        <w:noBreakHyphen/>
        <w:t>5.</w:t>
      </w:r>
      <w:r>
        <w:rPr>
          <w:color w:val="000000"/>
          <w:szCs w:val="22"/>
        </w:rPr>
        <w:tab/>
      </w:r>
      <w:r>
        <w:rPr>
          <w:color w:val="000000"/>
        </w:rPr>
        <w:t>The General Assembly finds and declares the following to be the public policy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Section 2</w:t>
      </w:r>
      <w:r>
        <w:rPr>
          <w:color w:val="000000"/>
          <w:szCs w:val="22"/>
        </w:rPr>
        <w:noBreakHyphen/>
        <w:t>2</w:t>
      </w:r>
      <w:r>
        <w:rPr>
          <w:color w:val="000000"/>
          <w:szCs w:val="22"/>
        </w:rPr>
        <w:noBreakHyphen/>
        <w:t>10.</w:t>
      </w:r>
      <w:r>
        <w:rPr>
          <w:color w:val="000000"/>
          <w:szCs w:val="22"/>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t>(1)</w:t>
      </w:r>
      <w:r>
        <w:rPr>
          <w:color w:val="000000"/>
          <w:szCs w:val="22"/>
        </w:rPr>
        <w:tab/>
        <w:t xml:space="preserve">‘Agency’ </w:t>
      </w:r>
      <w: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lastRenderedPageBreak/>
        <w:tab/>
        <w:t>(2)</w:t>
      </w:r>
      <w:r>
        <w:rPr>
          <w:color w:val="000000"/>
          <w:szCs w:val="22"/>
        </w:rPr>
        <w:tab/>
        <w:t>‘Investigating committee’ means any standing committee or subcommittee of a standing committee exercising its authority to conduct an oversight study and investigation of an agency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(3)</w:t>
      </w:r>
      <w:r>
        <w:rPr>
          <w:color w:val="000000"/>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(4)</w:t>
      </w:r>
      <w:r>
        <w:rPr>
          <w:color w:val="000000"/>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(5)</w:t>
      </w:r>
      <w:r>
        <w:rPr>
          <w:color w:val="000000"/>
          <w:szCs w:val="22"/>
        </w:rPr>
        <w:tab/>
        <w:t>‘Standing committee’ means a permanent committee with a regular meeting schedule and designated subject matter jurisdiction that is authorized by the Rules of the Senate or the Rules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Arial Unicode MS" w:cs="Arial Unicode MS"/>
        </w:rPr>
      </w:pPr>
      <w:r>
        <w:rPr>
          <w:color w:val="000000"/>
          <w:szCs w:val="22"/>
        </w:rPr>
        <w:tab/>
        <w:t>Section 2</w:t>
      </w:r>
      <w:r>
        <w:rPr>
          <w:color w:val="000000"/>
          <w:szCs w:val="22"/>
        </w:rPr>
        <w:noBreakHyphen/>
        <w:t>2</w:t>
      </w:r>
      <w:r>
        <w:rPr>
          <w:color w:val="000000"/>
          <w:szCs w:val="22"/>
        </w:rPr>
        <w:noBreakHyphen/>
        <w:t>20.</w:t>
      </w:r>
      <w:r>
        <w:rPr>
          <w:color w:val="000000"/>
          <w:szCs w:val="22"/>
        </w:rPr>
        <w:tab/>
        <w:t>(A)</w:t>
      </w:r>
      <w:r>
        <w:rPr>
          <w:color w:val="000000"/>
          <w:szCs w:val="22"/>
        </w:rPr>
        <w:tab/>
      </w:r>
      <w:r>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t>(B)</w:t>
      </w:r>
      <w:r>
        <w:tab/>
        <w:t>The purpose of these oversight studies and investigations is to determine if agency laws and programs within the subject matter jurisdiction of a standing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(1)</w:t>
      </w:r>
      <w:r>
        <w:tab/>
        <w:t>are being implemented and carried out in accordance with the intent of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should be continued, curtailed, or eliminated.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t>(C)</w:t>
      </w:r>
      <w:r>
        <w:tab/>
        <w:t>The oversight studies and investigations must consider: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(1)</w:t>
      </w:r>
      <w:r>
        <w:tab/>
        <w:t>the application, administration, execution, and effectiveness of laws and programs addressing subjects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the organization and operation of state agencies and entities having responsibilities for the administration and execution of laws and programs addressing subjects within the standing committee’s subject matter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(3)</w:t>
      </w:r>
      <w:r>
        <w:tab/>
        <w:t>any conditions or circumstances that may indicate the necessity or desirability of enacting new or additional legislation addressing subjects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w:t>
      </w:r>
      <w:r>
        <w:noBreakHyphen/>
        <w:t>2</w:t>
      </w:r>
      <w:r>
        <w:noBreakHyphen/>
        <w:t>30.</w:t>
      </w:r>
      <w:r>
        <w:tab/>
        <w:t>(A)</w:t>
      </w:r>
      <w:r>
        <w:tab/>
        <w:t>The procedure for conducting the oversight studies and investigations is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noBreakHyphen/>
        <w:t>year review schedule must be published in the Senate Journal on the first day of session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r>
      <w:r>
        <w:tab/>
        <w:t>(a)</w:t>
      </w:r>
      <w:r>
        <w:tab/>
        <w:t>coordinate schedules for conducting oversight studies and investigations with the chairmen of other standing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noBreakHyphen/>
        <w:t>year review schedule must be published in the House Journal on the first day of session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r>
      <w:r>
        <w:tab/>
        <w:t>(a)</w:t>
      </w:r>
      <w:r>
        <w:tab/>
        <w:t>coordinate schedules for conducting oversight studies and investigations with the chairmen of other standing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chairman of an investigating committee may vest the standing committee’s full investigative power and authority in a subcommittee.  A subcommittee conducting an oversight study and investigation of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shall make a full report of its findings and recommendations to the standing committee at the conclusion of its oversight study and investigation,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shall not consist of fewer than three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40.</w:t>
      </w:r>
      <w:r>
        <w:tab/>
        <w:t>(A)</w:t>
      </w:r>
      <w:r>
        <w:tab/>
        <w:t>In addition to the scheduled five</w:t>
      </w:r>
      <w:r>
        <w:noBreakHyphen/>
        <w:t>year oversight studies and investigations, a standing committee of the Senate or the House of Representatives may by one</w:t>
      </w:r>
      <w: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noBreakHyphen/>
        <w:t>2</w:t>
      </w:r>
      <w:r>
        <w:noBreakHyphen/>
        <w:t>50.</w:t>
      </w:r>
      <w:r>
        <w:tab/>
      </w:r>
      <w:r>
        <w:rPr>
          <w:szCs w:val="16"/>
        </w:rPr>
        <w:t>When an investigating committee conducts an oversight study and investigation or a legislative investigation is conducted pursuant to Section 2</w:t>
      </w:r>
      <w:r>
        <w:rPr>
          <w:szCs w:val="16"/>
        </w:rPr>
        <w:noBreakHyphen/>
        <w:t>2</w:t>
      </w:r>
      <w:r>
        <w:rPr>
          <w:szCs w:val="16"/>
        </w:rPr>
        <w:noBreakHyphen/>
        <w:t>40(B), evidence or information related to the investigation may be acquired by any lawful means,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serving a request for information on the agency being studied or investigated.  The request for information must be answered separately and fully in writing under oath and returned to the investigating committee within forty</w:t>
      </w:r>
      <w:r>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issuing subpoenas and subpoenas duces tecum pursuant to Chapter 69 of this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60.</w:t>
      </w:r>
      <w:r>
        <w:tab/>
        <w:t>(A)</w:t>
      </w:r>
      <w:r>
        <w:tab/>
        <w:t>An investigating committee’s request for a program evaluation report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agency program or operations that it intends to investigate;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information that must be included in the report;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date that the report must be submitted to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investigating committee may request that the program evaluation report contain any of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enabling or authorizing law or other relevant mandate, including any federal mandates;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description of each program administered by the agency identified by the investigating committee in the request for a program evaluation report, including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established priorities, including goals and objectives in meeting each priority;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performance criteria, timetables, or other benchmarks used by the agency to measure its progress in achieving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organizational structure, including a position count, job classification, and organization flow chart indicating lines of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financial summary, including sources of funding by program and the amounts allocated or appropriated and expended over the last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identification of the constituencies served by the agency or program, noting any changes or projected changes in the constituencies;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summary of efforts by the agency or program regarding the use of alternative delivery systems, including privatization, in meeting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identification of emerging issues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a comparison of any related federal laws and regulations to the state laws governing the agency or program and the rules implemented by the agency or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(10)</w:t>
      </w:r>
      <w:r>
        <w:tab/>
        <w:t>agency policies for collecting, managing, and using personal information over the Internet and nonelectronically, information on the agency’s implementation of information technologies;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a list of reports, applications, and other similar paperwork required to be filed with the agency by the public.  The list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statutory authority for each filing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date each filing requirement was adopted or last amended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frequency that filing is required;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number of filings received annually for the last five years and the number of anticipated filings for the next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 description of the actions taken or contemplated by the agency to reduce filing requirements and paperwork duplication;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any other relevant information specifically requested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information contained in a program evaluation report must be presented in a concise and complete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state agency that is vested with revenue bonding authority may submit annual reports and annual external audit reports conducted by a third party in lieu of a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70.</w:t>
      </w:r>
      <w:r>
        <w:tab/>
        <w:t>All testimony given to the investigating committee must be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80.</w:t>
      </w:r>
      <w: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90.</w:t>
      </w:r>
      <w:r>
        <w:tab/>
        <w:t>A witness shall be given the benefit of any privilege which he may have claimed in court as a party to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C20379-F9C8-48FD-9F2E-02D78114769A}"/>
    <w:embedBold r:id="rId2" w:fontKey="{7F729422-F1FD-49C4-872F-2C9AE9B371D2}"/>
  </w:font>
  <w:font w:name="Calibri">
    <w:panose1 w:val="020F0502020204030204"/>
    <w:charset w:val="00"/>
    <w:family w:val="swiss"/>
    <w:pitch w:val="variable"/>
    <w:sig w:usb0="A00002EF" w:usb1="4000207B" w:usb2="00000000" w:usb3="00000000" w:csb0="0000009F" w:csb1="00000000"/>
    <w:embedRegular r:id="rId3" w:fontKey="{ABC0FF8C-7321-4F86-8527-0C973B324F64}"/>
  </w:font>
  <w:font w:name="Arial">
    <w:panose1 w:val="020B0604020202020204"/>
    <w:charset w:val="00"/>
    <w:family w:val="swiss"/>
    <w:pitch w:val="variable"/>
    <w:sig w:usb0="20002A87" w:usb1="80000000" w:usb2="00000008" w:usb3="00000000" w:csb0="000001FF" w:csb1="00000000"/>
    <w:embedRegular r:id="rId4" w:fontKey="{4459AC9F-4FCB-425B-BA66-F4FCB051DB5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CC2972F-EDD1-4032-AAD8-6425A0702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[3498]</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3HTC09"/>
    <w:docVar w:name="CoverBillType" w:val="b"/>
    <w:docVar w:name="docpath" w:val="L:\Council\bills\BBM\9153HTC09.DOCX"/>
    <w:docVar w:name="dvBillNumber" w:val="349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4328</Words>
  <Characters>24672</Characters>
  <Application>Microsoft Office Word</Application>
  <DocSecurity>0</DocSecurity>
  <Lines>205</Lines>
  <Paragraphs>57</Paragraphs>
  <ScaleCrop>false</ScaleCrop>
  <Company> </Company>
  <LinksUpToDate>false</LinksUpToDate>
  <CharactersWithSpaces>28943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2009-02-10T21:03:00Z</cp:lastPrinted>
  <dcterms:created xsi:type="dcterms:W3CDTF">2009-02-11T16:16:00Z</dcterms:created>
  <dcterms:modified xsi:type="dcterms:W3CDTF">2009-02-11T16:16:00Z</dcterms:modified>
</cp:coreProperties>
</file>