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INSURANCE, RELATING TO PRENEED LIFE INSURANCE MINIMUM STANDARDS FOR DETERMINING RESERVE LIABILITIES AND NONFORFEITURE VALUES, DESIGNATED AS REGULATION DOCUMENT NUMBER 4035,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Insurance, relating to Preneed Life Insurance Minimum Standards for Determining Reserve Liabilities and Nonforfeiture Values, designated as Regulation Document Number 4035,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Preneed Life Insurance Minimum Standards for Determining Reserve Liabilities and Nonforfeiture Values was recently adopted by the NAIC to provide for use of the 1980 Commissioners Standard Ordinary (CSO) Life Valuation Mortality Table for use in determining the minimum standard of valuation of reserves and the minimum standard nonforfeiture values for preneed insurance products.  The 2001 CSO Tables promulgated in S.C. Code of Regulations 69</w:t>
      </w:r>
      <w:r>
        <w:noBreakHyphen/>
      </w:r>
      <w:r>
        <w:rPr>
          <w:szCs w:val="22"/>
        </w:rPr>
        <w:t xml:space="preserve">57.1, </w:t>
      </w:r>
      <w:r>
        <w:rPr>
          <w:color w:val="000000"/>
          <w:szCs w:val="22"/>
        </w:rPr>
        <w:t xml:space="preserve">Recognition of Preferred Mortality Tables for </w:t>
      </w:r>
      <w:r>
        <w:rPr>
          <w:color w:val="000000"/>
          <w:szCs w:val="22"/>
        </w:rPr>
        <w:lastRenderedPageBreak/>
        <w:t xml:space="preserve">Use in Determining Minimum Reserve Liabilities, </w:t>
      </w:r>
      <w:r>
        <w:rPr>
          <w:szCs w:val="22"/>
        </w:rPr>
        <w:t xml:space="preserve">do not appropriately reflect the mortality experience of preneed life insurance and may produce inadequate reserves.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9CFE34-5837-44D8-9C34-DD41465BD0D1}"/>
    <w:embedBold r:id="rId2" w:fontKey="{3FF16564-C8BD-422D-9137-B965FA3F43A1}"/>
  </w:font>
  <w:font w:name="Calibri">
    <w:panose1 w:val="020F0502020204030204"/>
    <w:charset w:val="00"/>
    <w:family w:val="swiss"/>
    <w:pitch w:val="variable"/>
    <w:sig w:usb0="A00002EF" w:usb1="4000207B" w:usb2="00000000" w:usb3="00000000" w:csb0="0000009F" w:csb1="00000000"/>
    <w:embedRegular r:id="rId3" w:fontKey="{A03BDE54-7E58-444C-A0E5-B83A15C20F02}"/>
  </w:font>
  <w:font w:name="Tahoma">
    <w:panose1 w:val="020B0604030504040204"/>
    <w:charset w:val="00"/>
    <w:family w:val="swiss"/>
    <w:pitch w:val="variable"/>
    <w:sig w:usb0="61002A87" w:usb1="80000000" w:usb2="00000008" w:usb3="00000000" w:csb0="000101FF" w:csb1="00000000"/>
    <w:embedRegular r:id="rId4" w:fontKey="{CDD38AF2-0C8B-47CE-99F4-D7B6E09AD8F8}"/>
  </w:font>
  <w:font w:name="Cambria">
    <w:panose1 w:val="02040503050406030204"/>
    <w:charset w:val="00"/>
    <w:family w:val="roman"/>
    <w:pitch w:val="variable"/>
    <w:sig w:usb0="A00002EF" w:usb1="4000004B" w:usb2="00000000" w:usb3="00000000" w:csb0="0000009F" w:csb1="00000000"/>
    <w:embedRegular r:id="rId5" w:fontKey="{3254523F-42FB-406B-9C4C-BA545AFF1C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13AC09"/>
    <w:docVar w:name="CoverBillType" w:val="a"/>
    <w:docVar w:name="docpath" w:val="L:\Council\bills\NBD\11313AC09.DOCX"/>
    <w:docVar w:name="dvBillNumber" w:val="365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1332</Characters>
  <Application>Microsoft Office Word</Application>
  <DocSecurity>0</DocSecurity>
  <Lines>11</Lines>
  <Paragraphs>3</Paragraphs>
  <ScaleCrop>false</ScaleCrop>
  <Company> </Company>
  <LinksUpToDate>false</LinksUpToDate>
  <CharactersWithSpaces>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2009-03-02T20:24:00Z</cp:lastPrinted>
  <dcterms:created xsi:type="dcterms:W3CDTF">2009-03-04T16:07:00Z</dcterms:created>
  <dcterms:modified xsi:type="dcterms:W3CDTF">2009-03-04T16:07:00Z</dcterms:modified>
</cp:coreProperties>
</file>