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25A" w:rsidRDefault="004C467D">
      <w:pPr>
        <w:pStyle w:val="BillDots"/>
      </w:pPr>
      <w:r>
        <w:t>COMMITTEE AMENDMENT ADOPTED</w:t>
      </w:r>
    </w:p>
    <w:p w:rsidR="0026725A" w:rsidRDefault="004C467D">
      <w:pPr>
        <w:pStyle w:val="BillDots"/>
      </w:pPr>
      <w:r>
        <w:t>February 25, 2010</w:t>
      </w:r>
    </w:p>
    <w:p w:rsidR="0026725A" w:rsidRDefault="0026725A">
      <w:pPr>
        <w:pStyle w:val="BillDots"/>
      </w:pPr>
    </w:p>
    <w:p w:rsidR="0026725A" w:rsidRPr="0026725A" w:rsidRDefault="0026725A" w:rsidP="0026725A">
      <w:pPr>
        <w:pStyle w:val="BillDots"/>
        <w:tabs>
          <w:tab w:val="clear" w:pos="216"/>
          <w:tab w:val="clear" w:pos="432"/>
          <w:tab w:val="clear" w:pos="648"/>
          <w:tab w:val="clear" w:pos="864"/>
          <w:tab w:val="clear" w:pos="1080"/>
          <w:tab w:val="clear" w:pos="1296"/>
          <w:tab w:val="clear" w:pos="5904"/>
          <w:tab w:val="right" w:pos="5933"/>
        </w:tabs>
      </w:pPr>
      <w:r>
        <w:tab/>
      </w:r>
      <w:r>
        <w:rPr>
          <w:b/>
          <w:sz w:val="36"/>
        </w:rPr>
        <w:t>H. 3707</w:t>
      </w:r>
    </w:p>
    <w:p w:rsidR="0026725A" w:rsidRDefault="0026725A">
      <w:pPr>
        <w:pStyle w:val="BillDots"/>
      </w:pPr>
    </w:p>
    <w:p w:rsidR="0026725A" w:rsidRDefault="0026725A">
      <w:pPr>
        <w:pStyle w:val="BillDots"/>
      </w:pPr>
      <w:r>
        <w:t>Introduced by Reps. T.R. Young, Cato, Cobb</w:t>
      </w:r>
      <w:r>
        <w:noBreakHyphen/>
        <w:t>Hunter, Toole, Ott, Cooper, Gambrell, Bowen, Agnew, McLeod, J.H. Neal, Gunn, Hayes, Stewart, Thompson, White, Duncan, Moss, H.B. Brown, Knight, Frye, Spires, Neilson, Vick, Hutto, Sellers and Rice</w:t>
      </w:r>
    </w:p>
    <w:p w:rsidR="0026725A" w:rsidRDefault="0026725A">
      <w:pPr>
        <w:pStyle w:val="BillDots"/>
      </w:pPr>
    </w:p>
    <w:p w:rsidR="0026725A" w:rsidRDefault="004C467D">
      <w:pPr>
        <w:pStyle w:val="BillDots"/>
      </w:pPr>
      <w:r>
        <w:t>S. Printed 2/25/10</w:t>
      </w:r>
      <w:r w:rsidR="0026725A">
        <w:t>--S.</w:t>
      </w:r>
    </w:p>
    <w:p w:rsidR="0026725A" w:rsidRDefault="0026725A">
      <w:pPr>
        <w:pStyle w:val="BillDots"/>
      </w:pPr>
      <w:r>
        <w:t>Read the first time May 5, 2009.</w:t>
      </w:r>
    </w:p>
    <w:p w:rsidR="0026725A" w:rsidRPr="0026725A" w:rsidRDefault="0026725A" w:rsidP="0026725A">
      <w:pPr>
        <w:pStyle w:val="BillDots"/>
        <w:jc w:val="center"/>
      </w:pPr>
      <w:r>
        <w:rPr>
          <w:u w:val="single"/>
        </w:rPr>
        <w:t>            </w:t>
      </w:r>
    </w:p>
    <w:p w:rsidR="0026725A" w:rsidRDefault="0026725A">
      <w:pPr>
        <w:pStyle w:val="BillDots"/>
      </w:pPr>
    </w:p>
    <w:p w:rsidR="005B79EC" w:rsidRDefault="005B79EC">
      <w:pPr>
        <w:pStyle w:val="BillDots"/>
      </w:pPr>
    </w:p>
    <w:p w:rsidR="005B79EC" w:rsidRPr="005B79EC" w:rsidRDefault="005B79EC">
      <w:pPr>
        <w:pStyle w:val="BillDots"/>
        <w:sectPr w:rsidR="005B79EC" w:rsidRPr="005B79EC" w:rsidSect="00351F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05F6" w:rsidRDefault="000505F6">
      <w:pPr>
        <w:pStyle w:val="BillDots"/>
      </w:pPr>
    </w:p>
    <w:p w:rsidR="000505F6" w:rsidRDefault="000505F6">
      <w:pPr>
        <w:pStyle w:val="Numbersforbill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41</w:t>
      </w:r>
      <w:r>
        <w:noBreakHyphen/>
        <w:t>235 SO AS TO REQUIRE MOTOR FUEL TERMINALS TO OFFER FOR SALE PRODUCTS THAT ARE SUITABLE FOR SUBSEQUENT BLENDING EITHER WITH ETHANOL OR BIODIESEL; TO PROHIBIT A PERSON OR ENTITY FROM TAKING AN ACTION TO DENY A MOTOR FUEL DISTRIBUTOR OR RETAILER FROM BEING THE BLENDER OF RECORD; TO REQUIRE MOTOR FUEL DISTRIBUTORS, RETAILERS, AND REFINERS TO UTILIZE THE RENEWABLE IDENTIFICATION NUMBER; AND TO DECLARE VIOLATIONS AN UNFAIR TRADE PRACTICE.</w:t>
      </w:r>
    </w:p>
    <w:p w:rsidR="004C467D" w:rsidRDefault="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The General Assembly finds that the use of blended fuels reduces the dependence on imported oil and therefore the protection thereof is reasonable and necessary to accomplish this legitimate public purpose.  The General Assembly further finds that promoting and protecting the use of blended fuels in order to reduce the dependence on imported oil protects a basic societal interest.  The General Assembly also finds that it is in the best societal interest not to restrict or prevent the blending of ethanol or biodiesel by distributors or retailers.  Therefore, any provision of any contract that is executed, modified, renewed, or amended on or after the effective date of this act that would restrict or prevent a distributor or retailer from blending is contrary to the public purpose of this act and is deemed void.</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SECTION</w:t>
      </w:r>
      <w:r>
        <w:tab/>
        <w:t>2.</w:t>
      </w:r>
      <w:r>
        <w:tab/>
        <w:t>Article 1, Chapter 41, Title 39 of the 1976 Code is amended by adding:</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41</w:t>
      </w:r>
      <w:r>
        <w:noBreakHyphen/>
        <w:t>235.</w:t>
      </w:r>
      <w:r>
        <w:tab/>
        <w:t>(A)</w:t>
      </w:r>
      <w:r>
        <w:tab/>
        <w:t>Regardless of other products offered, every terminal, as defined in Section 12</w:t>
      </w:r>
      <w:r>
        <w:noBreakHyphen/>
        <w:t>28</w:t>
      </w:r>
      <w:r>
        <w:noBreakHyphen/>
        <w:t>110(56), located within the State must offer for sale all grades of petroleum products that are not already preblended with ethanol and that is suitable for subsequent blending of the product with ethanol.</w:t>
      </w:r>
    </w:p>
    <w:p w:rsidR="004C467D" w:rsidRDefault="004C467D" w:rsidP="004C467D">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Regardless of other products offered, every terminal, as defined in Section 12</w:t>
      </w:r>
      <w:r>
        <w:noBreakHyphen/>
        <w:t>28</w:t>
      </w:r>
      <w:r>
        <w:noBreakHyphen/>
        <w:t>110(56), located within the State must offer for sale all grades of diesel fuel that are not already preblended to produce biodiesel or a biodiesel blend and that are suitable for subsequent blending to produce biodiesel or biodiesel blends.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(C)</w:t>
      </w:r>
      <w:r>
        <w:tab/>
        <w:t>A terminal shall not offer for sale an unblended product that omits any additive found in a product preblended with ethanol.  A terminal shall not offer for sale an unblended product that does not contain a comparable amount of any additive found in a product preblended with ethanol.</w:t>
      </w:r>
      <w:r>
        <w:tab/>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D</w:t>
      </w:r>
      <w:r w:rsidRPr="002074D0">
        <w:rPr>
          <w:snapToGrid w:val="0"/>
        </w:rPr>
        <w:t>)</w:t>
      </w:r>
      <w:r w:rsidRPr="002074D0">
        <w:rPr>
          <w:snapToGrid w:val="0"/>
        </w:rPr>
        <w:tab/>
        <w:t>No person or entity shall take an action to deny a distributor, as defined in Section 12</w:t>
      </w:r>
      <w:r>
        <w:rPr>
          <w:snapToGrid w:val="0"/>
        </w:rPr>
        <w:noBreakHyphen/>
      </w:r>
      <w:r w:rsidRPr="002074D0">
        <w:rPr>
          <w:snapToGrid w:val="0"/>
        </w:rPr>
        <w:t>28</w:t>
      </w:r>
      <w:r>
        <w:rPr>
          <w:snapToGrid w:val="0"/>
        </w:rPr>
        <w:noBreakHyphen/>
      </w:r>
      <w:r w:rsidRPr="002074D0">
        <w:rPr>
          <w:snapToGrid w:val="0"/>
        </w:rPr>
        <w:t>110(17), or retailer, as defined in Section 12</w:t>
      </w:r>
      <w:r>
        <w:rPr>
          <w:snapToGrid w:val="0"/>
        </w:rPr>
        <w:noBreakHyphen/>
      </w:r>
      <w:r w:rsidRPr="002074D0">
        <w:rPr>
          <w:snapToGrid w:val="0"/>
        </w:rPr>
        <w:t>28</w:t>
      </w:r>
      <w:r>
        <w:rPr>
          <w:snapToGrid w:val="0"/>
        </w:rPr>
        <w:noBreakHyphen/>
      </w:r>
      <w:r w:rsidRPr="002074D0">
        <w:rPr>
          <w:snapToGrid w:val="0"/>
        </w:rPr>
        <w:t xml:space="preserve">110(52) who is doing business in this State and who has registered with the Internal Revenue Service on Form 637 (M) from being the blender of record afforded them by the acceptance by the Internal Revenue Service of Form 637 (M). </w:t>
      </w:r>
    </w:p>
    <w:p w:rsidR="004C467D" w:rsidRPr="002074D0" w:rsidRDefault="004C467D" w:rsidP="004C467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074D0">
        <w:rPr>
          <w:snapToGrid w:val="0"/>
        </w:rPr>
        <w:tab/>
        <w:t>(</w:t>
      </w:r>
      <w:r>
        <w:rPr>
          <w:snapToGrid w:val="0"/>
        </w:rPr>
        <w:t>E</w:t>
      </w:r>
      <w:r w:rsidRPr="002074D0">
        <w:rPr>
          <w:snapToGrid w:val="0"/>
        </w:rPr>
        <w:t>)</w:t>
      </w:r>
      <w:r w:rsidRPr="002074D0">
        <w:rPr>
          <w:snapToGrid w:val="0"/>
        </w:rPr>
        <w:tab/>
        <w:t xml:space="preserve">A distributor or retailer and a refiner must utilize the Renewable Identification Number (RIN) system.  Nothing in this section may be construed to imply a market value for the RINs.  </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00778">
        <w:rPr>
          <w:color w:val="000000" w:themeColor="text1"/>
          <w:u w:color="000000" w:themeColor="text1"/>
        </w:rPr>
        <w:t>A violation of this article is deemed an unfair trade practice, and each violation is a separate offense. A person or entity violating the provisions of this article is guilty of a misdemeanor and, upon conviction, must be fined not more than five thousand dollars for each violation.</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7"/>
          <w:u w:color="000000" w:themeColor="text1"/>
        </w:rPr>
      </w:pPr>
      <w:r>
        <w:rPr>
          <w:snapToGrid w:val="0"/>
        </w:rPr>
        <w:tab/>
        <w:t>(G)</w:t>
      </w:r>
      <w:r>
        <w:rPr>
          <w:szCs w:val="28"/>
        </w:rPr>
        <w:tab/>
      </w:r>
      <w:r>
        <w:rPr>
          <w:rFonts w:cs="Arial"/>
          <w:color w:val="000000"/>
          <w:szCs w:val="28"/>
        </w:rPr>
        <w:t>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r>
      <w:r>
        <w:rPr>
          <w:rFonts w:cs="Arial"/>
          <w:color w:val="000000"/>
          <w:szCs w:val="28"/>
        </w:rPr>
        <w:t xml:space="preserve">If any section, subsection, paragraph, subparagraph, sentence, clause, phrase, or word of this act is for any reason held </w:t>
      </w:r>
      <w:r>
        <w:rPr>
          <w:rFonts w:cs="Arial"/>
          <w:color w:val="000000"/>
          <w:szCs w:val="28"/>
        </w:rPr>
        <w:lastRenderedPageBreak/>
        <w:t>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SECTION</w:t>
      </w:r>
      <w:r>
        <w:rPr>
          <w:snapToGrid w:val="0"/>
        </w:rPr>
        <w:tab/>
        <w:t>4.</w:t>
      </w:r>
      <w:r>
        <w:rPr>
          <w:snapToGrid w:val="0"/>
        </w:rPr>
        <w:tab/>
      </w:r>
      <w:r>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467D"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Pr>
          <w:color w:val="000000" w:themeColor="text1"/>
          <w:u w:color="000000" w:themeColor="text1"/>
        </w:rPr>
        <w:t>(A)</w:t>
      </w:r>
      <w:r>
        <w:rPr>
          <w:color w:val="000000" w:themeColor="text1"/>
          <w:u w:color="000000" w:themeColor="text1"/>
        </w:rPr>
        <w:tab/>
      </w:r>
      <w:r w:rsidRPr="00A54814">
        <w:rPr>
          <w:color w:val="000000" w:themeColor="text1"/>
          <w:u w:color="000000" w:themeColor="text1"/>
        </w:rPr>
        <w:t>Section 39</w:t>
      </w:r>
      <w:r w:rsidRPr="00A54814">
        <w:rPr>
          <w:color w:val="000000" w:themeColor="text1"/>
          <w:u w:color="000000" w:themeColor="text1"/>
        </w:rPr>
        <w:noBreakHyphen/>
        <w:t>41</w:t>
      </w:r>
      <w:r w:rsidRPr="00A54814">
        <w:rPr>
          <w:color w:val="000000" w:themeColor="text1"/>
          <w:u w:color="000000" w:themeColor="text1"/>
        </w:rPr>
        <w:noBreakHyphen/>
        <w:t>235 (A) and Section 39</w:t>
      </w:r>
      <w:r w:rsidRPr="00A54814">
        <w:rPr>
          <w:color w:val="000000" w:themeColor="text1"/>
          <w:u w:color="000000" w:themeColor="text1"/>
        </w:rPr>
        <w:noBreakHyphen/>
        <w:t>41</w:t>
      </w:r>
      <w:r w:rsidRPr="00A54814">
        <w:rPr>
          <w:color w:val="000000" w:themeColor="text1"/>
          <w:u w:color="000000" w:themeColor="text1"/>
        </w:rPr>
        <w:noBreakHyphen/>
        <w:t xml:space="preserve">235 (B) as contained in </w:t>
      </w:r>
      <w:r>
        <w:rPr>
          <w:color w:val="000000" w:themeColor="text1"/>
          <w:u w:color="000000" w:themeColor="text1"/>
        </w:rPr>
        <w:t>SECTION 2 of this a</w:t>
      </w:r>
      <w:r w:rsidRPr="00A54814">
        <w:rPr>
          <w:color w:val="000000" w:themeColor="text1"/>
          <w:u w:color="000000" w:themeColor="text1"/>
        </w:rPr>
        <w:t>ct take effect sixty days after approval of the Governor.</w:t>
      </w:r>
    </w:p>
    <w:p w:rsidR="004C467D" w:rsidRPr="00A54814" w:rsidRDefault="004C467D" w:rsidP="004C4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4814">
        <w:rPr>
          <w:color w:val="000000" w:themeColor="text1"/>
          <w:u w:color="000000" w:themeColor="text1"/>
        </w:rPr>
        <w:t xml:space="preserve">Except as provided in </w:t>
      </w:r>
      <w:r>
        <w:rPr>
          <w:color w:val="000000" w:themeColor="text1"/>
          <w:u w:color="000000" w:themeColor="text1"/>
        </w:rPr>
        <w:t xml:space="preserve">subsection </w:t>
      </w:r>
      <w:r w:rsidRPr="00A54814">
        <w:rPr>
          <w:color w:val="000000" w:themeColor="text1"/>
          <w:u w:color="000000" w:themeColor="text1"/>
        </w:rPr>
        <w:t xml:space="preserve">(A) of this </w:t>
      </w:r>
      <w:r>
        <w:rPr>
          <w:color w:val="000000" w:themeColor="text1"/>
          <w:u w:color="000000" w:themeColor="text1"/>
        </w:rPr>
        <w:t>SECTION</w:t>
      </w:r>
      <w:r w:rsidRPr="00A54814">
        <w:rPr>
          <w:color w:val="000000" w:themeColor="text1"/>
          <w:u w:color="000000" w:themeColor="text1"/>
        </w:rPr>
        <w:t>, this Act takes effect upon approval of the Governor.</w:t>
      </w:r>
    </w:p>
    <w:p w:rsidR="000505F6" w:rsidRDefault="0005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5F6" w:rsidRDefault="00351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05F6" w:rsidRDefault="000505F6" w:rsidP="00F665BC">
      <w:pPr>
        <w:suppressAutoHyphens/>
      </w:pPr>
    </w:p>
    <w:sectPr w:rsidR="000505F6" w:rsidSect="00351F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5F6" w:rsidRDefault="00351FAE">
      <w:r>
        <w:separator/>
      </w:r>
    </w:p>
  </w:endnote>
  <w:endnote w:type="continuationSeparator" w:id="0">
    <w:p w:rsidR="000505F6" w:rsidRDefault="00351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8E3F95-149F-436A-AA1B-09BBDDEAA984}"/>
    <w:embedBold r:id="rId2" w:fontKey="{CA8E0536-8585-4822-9221-B714BBBAA88F}"/>
  </w:font>
  <w:font w:name="Calibri">
    <w:panose1 w:val="020F0502020204030204"/>
    <w:charset w:val="00"/>
    <w:family w:val="swiss"/>
    <w:pitch w:val="variable"/>
    <w:sig w:usb0="A00002EF" w:usb1="4000207B" w:usb2="00000000" w:usb3="00000000" w:csb0="0000009F" w:csb1="00000000"/>
    <w:embedRegular r:id="rId3" w:fontKey="{F3FD9A93-8D78-44B7-B895-CBF7D0A63E26}"/>
  </w:font>
  <w:font w:name="Arial">
    <w:panose1 w:val="020B0604020202020204"/>
    <w:charset w:val="00"/>
    <w:family w:val="swiss"/>
    <w:pitch w:val="variable"/>
    <w:sig w:usb0="20002A87" w:usb1="80000000" w:usb2="00000008" w:usb3="00000000" w:csb0="000001FF" w:csb1="00000000"/>
    <w:embedRegular r:id="rId4" w:fontKey="{DE7F9155-EBCB-4091-9C1C-69FCE2629A6E}"/>
  </w:font>
  <w:font w:name="Cambria">
    <w:panose1 w:val="02040503050406030204"/>
    <w:charset w:val="00"/>
    <w:family w:val="roman"/>
    <w:pitch w:val="variable"/>
    <w:sig w:usb0="A00002EF" w:usb1="4000004B" w:usb2="00000000" w:usb3="00000000" w:csb0="0000009F" w:csb1="00000000"/>
    <w:embedRegular r:id="rId5" w:fontKey="{F6B0F9A7-751A-49CE-8D2D-4ACCBC541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5F6" w:rsidRDefault="00351FAE">
    <w:pPr>
      <w:pStyle w:val="Footer"/>
      <w:tabs>
        <w:tab w:val="clear" w:pos="4680"/>
        <w:tab w:val="clear" w:pos="9360"/>
        <w:tab w:val="center" w:pos="2995"/>
      </w:tabs>
      <w:spacing w:before="120"/>
    </w:pPr>
    <w:r>
      <w:t>[3707-</w:t>
    </w:r>
    <w:fldSimple w:instr=" PAGE  \* MERGEFORMAT ">
      <w:r w:rsidR="00F665B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FAE" w:rsidRDefault="00351FAE">
    <w:pPr>
      <w:pStyle w:val="Footer"/>
      <w:tabs>
        <w:tab w:val="clear" w:pos="4680"/>
        <w:tab w:val="clear" w:pos="9360"/>
        <w:tab w:val="center" w:pos="2995"/>
      </w:tabs>
      <w:spacing w:before="120"/>
    </w:pPr>
    <w:r>
      <w:t>[3707]</w:t>
    </w:r>
    <w:r>
      <w:tab/>
    </w:r>
    <w:fldSimple w:instr=" PAGE  \* MERGEFORMAT ">
      <w:r w:rsidR="00F665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5F6" w:rsidRDefault="00351FAE">
      <w:r>
        <w:separator/>
      </w:r>
    </w:p>
  </w:footnote>
  <w:footnote w:type="continuationSeparator" w:id="0">
    <w:p w:rsidR="000505F6" w:rsidRDefault="00351F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0ZW09"/>
    <w:docVar w:name="CoverBillType" w:val="b"/>
    <w:docVar w:name="docpath" w:val="L:\Council\bills\MS\7260ZW09.DOCX"/>
    <w:docVar w:name="dvBillNumber" w:val="3707"/>
    <w:docVar w:name="dvBillNumberPrefix" w:val="H. "/>
    <w:docVar w:name="dvOriginalBody" w:val="House"/>
    <w:docVar w:name="dvSteno" w:val="MS"/>
    <w:docVar w:name="NameofBody" w:val="h"/>
    <w:docVar w:name="vgroup2" w:val="Council"/>
  </w:docVars>
  <w:rsids>
    <w:rsidRoot w:val="000505F6"/>
    <w:rsid w:val="000505F6"/>
    <w:rsid w:val="0023135D"/>
    <w:rsid w:val="0026725A"/>
    <w:rsid w:val="00351FAE"/>
    <w:rsid w:val="004C467D"/>
    <w:rsid w:val="005B79EC"/>
    <w:rsid w:val="007A5976"/>
    <w:rsid w:val="00A04203"/>
    <w:rsid w:val="00AA5885"/>
    <w:rsid w:val="00C653B5"/>
    <w:rsid w:val="00D22CD7"/>
    <w:rsid w:val="00F665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5F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05F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5F6"/>
    <w:rPr>
      <w:rFonts w:eastAsia="Times New Roman" w:cs="Times New Roman"/>
      <w:b/>
      <w:sz w:val="30"/>
      <w:szCs w:val="20"/>
    </w:rPr>
  </w:style>
  <w:style w:type="paragraph" w:styleId="Header">
    <w:name w:val="header"/>
    <w:basedOn w:val="Normal"/>
    <w:link w:val="HeaderChar"/>
    <w:uiPriority w:val="99"/>
    <w:semiHidden/>
    <w:unhideWhenUsed/>
    <w:rsid w:val="000505F6"/>
    <w:pPr>
      <w:tabs>
        <w:tab w:val="center" w:pos="4320"/>
        <w:tab w:val="right" w:pos="8640"/>
      </w:tabs>
    </w:pPr>
  </w:style>
  <w:style w:type="character" w:customStyle="1" w:styleId="HeaderChar">
    <w:name w:val="Header Char"/>
    <w:basedOn w:val="DefaultParagraphFont"/>
    <w:link w:val="Header"/>
    <w:uiPriority w:val="99"/>
    <w:semiHidden/>
    <w:rsid w:val="000505F6"/>
    <w:rPr>
      <w:rFonts w:eastAsia="Times New Roman" w:cs="Times New Roman"/>
      <w:szCs w:val="20"/>
    </w:rPr>
  </w:style>
  <w:style w:type="paragraph" w:styleId="Footer">
    <w:name w:val="footer"/>
    <w:basedOn w:val="Normal"/>
    <w:link w:val="FooterChar"/>
    <w:uiPriority w:val="99"/>
    <w:unhideWhenUsed/>
    <w:rsid w:val="000505F6"/>
    <w:pPr>
      <w:tabs>
        <w:tab w:val="center" w:pos="4680"/>
        <w:tab w:val="right" w:pos="9360"/>
      </w:tabs>
    </w:pPr>
  </w:style>
  <w:style w:type="character" w:customStyle="1" w:styleId="FooterChar">
    <w:name w:val="Footer Char"/>
    <w:basedOn w:val="DefaultParagraphFont"/>
    <w:link w:val="Footer"/>
    <w:uiPriority w:val="99"/>
    <w:rsid w:val="000505F6"/>
    <w:rPr>
      <w:rFonts w:eastAsia="Times New Roman" w:cs="Times New Roman"/>
      <w:szCs w:val="20"/>
    </w:rPr>
  </w:style>
  <w:style w:type="character" w:styleId="PageNumber">
    <w:name w:val="page number"/>
    <w:basedOn w:val="DefaultParagraphFont"/>
    <w:uiPriority w:val="99"/>
    <w:semiHidden/>
    <w:unhideWhenUsed/>
    <w:rsid w:val="000505F6"/>
  </w:style>
  <w:style w:type="character" w:styleId="LineNumber">
    <w:name w:val="line number"/>
    <w:basedOn w:val="DefaultParagraphFont"/>
    <w:uiPriority w:val="99"/>
    <w:semiHidden/>
    <w:unhideWhenUsed/>
    <w:rsid w:val="000505F6"/>
  </w:style>
  <w:style w:type="paragraph" w:customStyle="1" w:styleId="BillDots">
    <w:name w:val="Bill Dots"/>
    <w:basedOn w:val="Normal"/>
    <w:qFormat/>
    <w:rsid w:val="000505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05F6"/>
    <w:pPr>
      <w:tabs>
        <w:tab w:val="right" w:pos="5904"/>
      </w:tabs>
    </w:pPr>
  </w:style>
  <w:style w:type="character" w:styleId="FollowedHyperlink">
    <w:name w:val="FollowedHyperlink"/>
    <w:basedOn w:val="DefaultParagraphFont"/>
    <w:uiPriority w:val="99"/>
    <w:semiHidden/>
    <w:unhideWhenUsed/>
    <w:rsid w:val="00C653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E4E9E-6CFA-44A9-94BD-6ED2C245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DavidBrunson</cp:lastModifiedBy>
  <cp:revision>2</cp:revision>
  <cp:lastPrinted>2009-05-07T18:49:00Z</cp:lastPrinted>
  <dcterms:created xsi:type="dcterms:W3CDTF">2010-02-25T20:14:00Z</dcterms:created>
  <dcterms:modified xsi:type="dcterms:W3CDTF">2010-02-25T20:14:00Z</dcterms:modified>
</cp:coreProperties>
</file>