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44</w:t>
      </w:r>
      <w:r>
        <w:noBreakHyphen/>
        <w:t>53</w:t>
      </w:r>
      <w:r>
        <w:noBreakHyphen/>
        <w:t>530, AS AMENDED, CODE OF LAWS OF SOUTH CAROLINA, 1976, RELATING TO FORFEITURE PROCEDURES RELATED TO DRUG PROCEEDS, SO AS TO ALLOW THE USE OF FORFEITED MONIES AND PROCEEDS FROM THE SALE OF PROPERTY FOR TRAINING AND EDUCATION BY LAW ENFORCEMENT IN ADDITION TO OTHER USES PREVIOUSLY DELINEATED.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53</w:t>
      </w:r>
      <w:r>
        <w:noBreakHyphen/>
        <w:t>530(g)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All forfeited monies and proceeds from the sale of forfeited property as defined in Section 44</w:t>
      </w:r>
      <w:r>
        <w:noBreakHyphen/>
        <w:t>53</w:t>
      </w:r>
      <w:r>
        <w:noBreakHyphen/>
        <w:t xml:space="preserve">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w:t>
      </w:r>
      <w:r>
        <w:rPr>
          <w:u w:val="single"/>
        </w:rPr>
        <w:t>or training or education,</w:t>
      </w:r>
      <w:r>
        <w:t xml:space="preserve"> and for prosecution agencies, the accounts must be used in matters relating to the prosecution of drug offenses and litigation of drug</w:t>
      </w:r>
      <w:r>
        <w:noBreakHyphen/>
        <w:t xml:space="preserve">related matters.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prosecution agency, approved as provided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In the case of a state law enforcement agency or state prosecution agency, monies and proceeds must be remitted to the State Treasurer who shall establish separate, special accounts as provided in this section for local agencies.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All expenditures from these accounts must be documented, and the documentation made available for audit purposes and upon request by a person under the provisions of Chapter 4</w:t>
      </w:r>
      <w:r>
        <w:rPr>
          <w:strike/>
        </w:rPr>
        <w:t>of</w:t>
      </w:r>
      <w:r>
        <w:rPr>
          <w:u w:val="single"/>
        </w:rPr>
        <w:t>,</w:t>
      </w:r>
      <w:r>
        <w:t xml:space="preserve"> Title 30, the Freedom of Information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1E64FD-5B0F-4475-B4AB-516E2217A988}"/>
    <w:embedBold r:id="rId2" w:fontKey="{0DD63BA8-2184-4051-8814-D0F56D3D1CF1}"/>
  </w:font>
  <w:font w:name="Calibri">
    <w:panose1 w:val="020F0502020204030204"/>
    <w:charset w:val="00"/>
    <w:family w:val="swiss"/>
    <w:pitch w:val="variable"/>
    <w:sig w:usb0="A00002EF" w:usb1="4000207B" w:usb2="00000000" w:usb3="00000000" w:csb0="0000009F" w:csb1="00000000"/>
    <w:embedRegular r:id="rId3" w:fontKey="{30459A75-5E1B-453A-AB21-12140D1337B2}"/>
  </w:font>
  <w:font w:name="Tahoma">
    <w:panose1 w:val="020B0604030504040204"/>
    <w:charset w:val="00"/>
    <w:family w:val="swiss"/>
    <w:pitch w:val="variable"/>
    <w:sig w:usb0="61002A87" w:usb1="80000000" w:usb2="00000008" w:usb3="00000000" w:csb0="000101FF" w:csb1="00000000"/>
    <w:embedRegular r:id="rId4" w:fontKey="{16652861-BB15-42E5-A2BE-4A874B0D823D}"/>
  </w:font>
  <w:font w:name="Cambria">
    <w:panose1 w:val="02040503050406030204"/>
    <w:charset w:val="00"/>
    <w:family w:val="roman"/>
    <w:pitch w:val="variable"/>
    <w:sig w:usb0="A00002EF" w:usb1="4000004B" w:usb2="00000000" w:usb3="00000000" w:csb0="0000009F" w:csb1="00000000"/>
    <w:embedRegular r:id="rId5" w:fontKey="{A3978296-01E7-4595-82C2-F34D6CE964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94AHB09"/>
    <w:docVar w:name="CoverBillType" w:val="b"/>
    <w:docVar w:name="docpath" w:val="L:\Council\bills\MS\7294AHB09.DOCX"/>
    <w:docVar w:name="dvBillNumber" w:val="3761"/>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456</Words>
  <Characters>2413</Characters>
  <Application>Microsoft Office Word</Application>
  <DocSecurity>0</DocSecurity>
  <Lines>344</Lines>
  <Paragraphs>358</Paragraphs>
  <ScaleCrop>false</ScaleCrop>
  <Company> </Company>
  <LinksUpToDate>false</LinksUpToDate>
  <CharactersWithSpaces>2511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2009-03-24T19:03:00Z</cp:lastPrinted>
  <dcterms:created xsi:type="dcterms:W3CDTF">2009-03-25T14:48:00Z</dcterms:created>
  <dcterms:modified xsi:type="dcterms:W3CDTF">2009-03-25T14:48:00Z</dcterms:modified>
</cp:coreProperties>
</file>