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77 TO CHAPTER 3, TITLE 56 SO AS TO PROVIDE THAT THE DEPARTMENT OF MOTOR VEHICLES MAY ISSUE “OUR FARMS</w:t>
      </w:r>
      <w:r>
        <w:noBreakHyphen/>
        <w:t>OUR FUTURE” SPECIAL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Our Farms</w:t>
      </w:r>
      <w:r>
        <w:noBreakHyphen/>
        <w:t>Our Future Special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7890.</w:t>
      </w:r>
      <w:r>
        <w:tab/>
      </w:r>
      <w:r>
        <w:tab/>
        <w:t>(A)</w:t>
      </w:r>
      <w:r>
        <w:tab/>
        <w:t>The Department of Motor Vehicles may issue special motor vehicle license plates to owners of private passenger carrying motor vehicles as defined in Section 56</w:t>
      </w:r>
      <w:r>
        <w:noBreakHyphen/>
        <w:t>3</w:t>
      </w:r>
      <w:r>
        <w:noBreakHyphen/>
        <w:t>630 in their names which shall have imprinted on the plate ‘Our Farms</w:t>
      </w:r>
      <w:r>
        <w:noBreakHyphen/>
        <w:t>Our Future’ and which may have a design representative of agriculture.  The South Carolina Farm Bureau Federation shall submit to the department for its approval a design it desires to be used for this special license plate.  The South Carolina Farm Bureau Federation may request a change in the design not more than once every five years.  The fee for this special license plate is seventy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noBreakHyphen/>
        <w:t>four months from the month it is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 xml:space="preserve"> The fees collected pursuant to this section above the cost of the regular motor vehicle registration fee must be distributed to the 501(c)(3) nonprofit South Carolina Farm Bureau Federation ‘Ag in the Classroom’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Before the Department of Motor Vehicles produces and distributes a special license plate pursuant to this section, it must receive: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four hundred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shall retain the deposit;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plan to market the sale of the special license plate, which must be approved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department receives fewer than three hundred biennial applications and renewals for this special license plate, it may not produce additional special license plates in this series.  The department shall continue to issue special license plates of this series until the existing inventory is exhausted.”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A9FB0C-1FEF-495C-B8E8-FF1573CB4425}"/>
    <w:embedBold r:id="rId2" w:fontKey="{59ECB35C-AC20-4422-B794-EF96E809DF75}"/>
  </w:font>
  <w:font w:name="Calibri">
    <w:panose1 w:val="020F0502020204030204"/>
    <w:charset w:val="00"/>
    <w:family w:val="swiss"/>
    <w:pitch w:val="variable"/>
    <w:sig w:usb0="A00002EF" w:usb1="4000207B" w:usb2="00000000" w:usb3="00000000" w:csb0="0000009F" w:csb1="00000000"/>
    <w:embedRegular r:id="rId3" w:fontKey="{3C77FC4C-668C-4E03-BD5C-1808E5B23CBA}"/>
  </w:font>
  <w:font w:name="Tahoma">
    <w:panose1 w:val="020B0604030504040204"/>
    <w:charset w:val="00"/>
    <w:family w:val="swiss"/>
    <w:pitch w:val="variable"/>
    <w:sig w:usb0="61002A87" w:usb1="80000000" w:usb2="00000008" w:usb3="00000000" w:csb0="000101FF" w:csb1="00000000"/>
    <w:embedRegular r:id="rId4" w:fontKey="{854AE846-E008-4415-8BEA-058C965730D7}"/>
  </w:font>
  <w:font w:name="Cambria">
    <w:panose1 w:val="02040503050406030204"/>
    <w:charset w:val="00"/>
    <w:family w:val="roman"/>
    <w:pitch w:val="variable"/>
    <w:sig w:usb0="A00002EF" w:usb1="4000004B" w:usb2="00000000" w:usb3="00000000" w:csb0="0000009F" w:csb1="00000000"/>
    <w:embedRegular r:id="rId5" w:fontKey="{481B0F9D-A5A2-4147-B026-10BDB8D4D5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37CM09"/>
    <w:docVar w:name="CoverBillType" w:val="b"/>
    <w:docVar w:name="docpath" w:val="L:\Council\bills\SWB\5837CM09.DOCX"/>
    <w:docVar w:name="dvBillNumber" w:val="3762"/>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2446</Characters>
  <Application>Microsoft Office Word</Application>
  <DocSecurity>0</DocSecurity>
  <Lines>349</Lines>
  <Paragraphs>363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2009-03-24T16:28:00Z</cp:lastPrinted>
  <dcterms:created xsi:type="dcterms:W3CDTF">2009-03-25T14:47:00Z</dcterms:created>
  <dcterms:modified xsi:type="dcterms:W3CDTF">2009-03-25T14:47:00Z</dcterms:modified>
</cp:coreProperties>
</file>