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476" w:rsidRDefault="00E56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56476" w:rsidRPr="00E56476" w:rsidRDefault="00E56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56476" w:rsidRDefault="00E56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6476" w:rsidRDefault="00E56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E56476" w:rsidRDefault="00E56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2010</w:t>
      </w:r>
    </w:p>
    <w:p w:rsidR="00E56476" w:rsidRDefault="00E56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6476" w:rsidRPr="00E56476" w:rsidRDefault="00E56476" w:rsidP="00E56476">
      <w:pPr>
        <w:tabs>
          <w:tab w:val="right" w:pos="5933"/>
        </w:tabs>
        <w:suppressAutoHyphens/>
        <w:jc w:val="both"/>
        <w:rPr>
          <w:rFonts w:eastAsia="Times New Roman"/>
        </w:rPr>
      </w:pPr>
      <w:r>
        <w:rPr>
          <w:rFonts w:eastAsia="Times New Roman"/>
        </w:rPr>
        <w:tab/>
      </w:r>
      <w:r>
        <w:rPr>
          <w:rFonts w:eastAsia="Times New Roman"/>
          <w:b/>
          <w:sz w:val="36"/>
        </w:rPr>
        <w:t>S. 405</w:t>
      </w:r>
    </w:p>
    <w:p w:rsidR="00E56476" w:rsidRDefault="00E56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6476" w:rsidRDefault="00E56476" w:rsidP="00E56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Cleary</w:t>
      </w:r>
    </w:p>
    <w:p w:rsidR="00E56476" w:rsidRDefault="00E56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6476" w:rsidRDefault="00E56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4/29/10--H.</w:t>
      </w:r>
    </w:p>
    <w:p w:rsidR="00E56476" w:rsidRDefault="00E56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14, 2009.</w:t>
      </w:r>
    </w:p>
    <w:p w:rsidR="00E56476" w:rsidRPr="00E56476" w:rsidRDefault="00E56476" w:rsidP="00E56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6476" w:rsidRDefault="00E56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57859" w:rsidSect="0075785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12-37-220 OF THE 1976 CODE, RELATING TO PROPERTY TAX EXEMPTIONS, TO CLARIFY THAT A WATERCRAFT AND ITS MOTOR MAY NOT RECEIVE A FORTY-TWO AND 75/100 PERCENT EXEMPTION IF THE BOAT OR WATERCRAFT IS CLASSIFIED AS A PRIMARY OR SECONDARY RESIDENCE FOR PROPERTY TAX PURPOSES; TO AMEND SECTION 12-37-224, RELATING TO BOATS AS A PRIMARY OR SECONDARY RESIDENCE, TO PROVIDE THAT A BOAT OR WATERCRAFT THAT CONTAINS A </w:t>
      </w:r>
      <w:r>
        <w:rPr>
          <w:color w:val="000000"/>
        </w:rPr>
        <w:t xml:space="preserve">COOKING AREA WITH AN ONBOARD POWER SOURCE, A TOILET WITH EXTERIOR EVACUATION, AND A SLEEPING QUARTER, SHALL BE CONSIDERED A PRIMARY OR SECONDARY RESIDENCE FOR PURPOSES OF AD VALOREM PROPERTY TAXATION IN THIS STATE; AND </w:t>
      </w:r>
      <w:r>
        <w:rPr>
          <w:rFonts w:eastAsia="Times New Roman"/>
        </w:rPr>
        <w:t xml:space="preserve">TO AMEND SECTION 12-37-714, RELATING TO BOATS WITH A SITUS IN THIS STATE, TO PROVIDE THAT </w:t>
      </w:r>
      <w:r>
        <w:rPr>
          <w:rFonts w:eastAsia="Times New Roman"/>
          <w:szCs w:val="24"/>
        </w:rPr>
        <w:t>UPON AN ORDINANCE PASSED BY THE LOCAL GOVERNING BODY, A COUNTY MAY SUBJECT A BOAT, INCLUDING ITS MOTOR IF THE MOTOR IS SEPARATELY TAXED, TO PROPERTY TAX IF IT IS WITHIN THIS STATE FOR NINETY DAYS IN THE AGGREGATE, REGARDLESS OF THE NUMBER OF CONSECUTIVE DAYS.</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12</w:t>
      </w:r>
      <w:r>
        <w:rPr>
          <w:rFonts w:eastAsia="Times New Roman"/>
          <w:color w:val="000000" w:themeColor="text1"/>
          <w:u w:color="000000" w:themeColor="text1"/>
        </w:rPr>
        <w:noBreakHyphen/>
        <w:t>37</w:t>
      </w:r>
      <w:r>
        <w:rPr>
          <w:rFonts w:eastAsia="Times New Roman"/>
          <w:color w:val="000000" w:themeColor="text1"/>
          <w:u w:color="000000" w:themeColor="text1"/>
        </w:rPr>
        <w:noBreakHyphen/>
        <w:t>220(B)(38)(b) of the 1976 Code is amended to read:</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Pr>
          <w:color w:val="000000" w:themeColor="text1"/>
          <w:u w:color="000000" w:themeColor="text1"/>
        </w:rPr>
        <w:t>(b)</w:t>
      </w:r>
      <w:r>
        <w:rPr>
          <w:color w:val="000000" w:themeColor="text1"/>
          <w:u w:color="000000" w:themeColor="text1"/>
        </w:rPr>
        <w:tab/>
        <w:t>By ordinance, a governing body of a county may exempt from the property tax, forty</w:t>
      </w:r>
      <w:r>
        <w:rPr>
          <w:color w:val="000000" w:themeColor="text1"/>
          <w:u w:color="000000" w:themeColor="text1"/>
        </w:rPr>
        <w:noBreakHyphen/>
        <w:t xml:space="preserve">two and 75/100 percent of the fair </w:t>
      </w:r>
      <w:r>
        <w:rPr>
          <w:color w:val="000000" w:themeColor="text1"/>
          <w:u w:color="000000" w:themeColor="text1"/>
        </w:rPr>
        <w:lastRenderedPageBreak/>
        <w:t xml:space="preserve">market value of a watercraft and its motor.  This exemption for a watercraft motor applies whether the motor is located in, attached to, or detached from the watercraft.  </w:t>
      </w:r>
      <w:r>
        <w:rPr>
          <w:color w:val="000000" w:themeColor="text1"/>
          <w:u w:val="single" w:color="000000" w:themeColor="text1"/>
        </w:rPr>
        <w:t xml:space="preserve">This exemption does not apply to a boat or watercraft </w:t>
      </w:r>
      <w:r>
        <w:rPr>
          <w:rFonts w:eastAsia="Times New Roman"/>
          <w:color w:val="000000" w:themeColor="text1"/>
          <w:u w:val="single" w:color="000000" w:themeColor="text1"/>
        </w:rPr>
        <w:t>classified for property tax purposes as a primary or secondary residence pursuant to Section 12</w:t>
      </w:r>
      <w:r>
        <w:rPr>
          <w:rFonts w:eastAsia="Times New Roman"/>
          <w:color w:val="000000" w:themeColor="text1"/>
          <w:u w:val="single" w:color="000000" w:themeColor="text1"/>
        </w:rPr>
        <w:noBreakHyphen/>
        <w:t>37</w:t>
      </w:r>
      <w:r>
        <w:rPr>
          <w:rFonts w:eastAsia="Times New Roman"/>
          <w:color w:val="000000" w:themeColor="text1"/>
          <w:u w:val="single" w:color="000000" w:themeColor="text1"/>
        </w:rPr>
        <w:noBreakHyphen/>
        <w:t>224.</w:t>
      </w:r>
      <w:r>
        <w:rPr>
          <w:rFonts w:eastAsia="Times New Roman"/>
          <w:color w:val="000000" w:themeColor="text1"/>
          <w:u w:color="000000" w:themeColor="text1"/>
        </w:rPr>
        <w:t>”</w:t>
      </w:r>
      <w:r>
        <w:rPr>
          <w:rFonts w:eastAsia="Times New Roman"/>
          <w:color w:val="000000" w:themeColor="text1"/>
          <w:u w:val="single" w:color="000000" w:themeColor="text1"/>
        </w:rPr>
        <w:t xml:space="preserve"> </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3C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sidR="00757859">
        <w:rPr>
          <w:rFonts w:eastAsia="Times New Roman"/>
          <w:color w:val="000000" w:themeColor="text1"/>
          <w:u w:color="000000" w:themeColor="text1"/>
        </w:rPr>
        <w:t>.</w:t>
      </w:r>
      <w:r w:rsidR="00757859">
        <w:rPr>
          <w:rFonts w:eastAsia="Times New Roman"/>
          <w:color w:val="000000" w:themeColor="text1"/>
          <w:u w:color="000000" w:themeColor="text1"/>
        </w:rPr>
        <w:tab/>
        <w:t>Section 12</w:t>
      </w:r>
      <w:r w:rsidR="00757859">
        <w:rPr>
          <w:rFonts w:eastAsia="Times New Roman"/>
          <w:color w:val="000000" w:themeColor="text1"/>
          <w:u w:color="000000" w:themeColor="text1"/>
        </w:rPr>
        <w:noBreakHyphen/>
        <w:t>37</w:t>
      </w:r>
      <w:r w:rsidR="00757859">
        <w:rPr>
          <w:rFonts w:eastAsia="Times New Roman"/>
          <w:color w:val="000000" w:themeColor="text1"/>
          <w:u w:color="000000" w:themeColor="text1"/>
        </w:rPr>
        <w:noBreakHyphen/>
        <w:t>714(2) of the 1976 Code is amended to read:</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Pr>
          <w:rFonts w:eastAsia="Times New Roman"/>
          <w:color w:val="000000" w:themeColor="text1"/>
          <w:szCs w:val="24"/>
          <w:u w:color="000000" w:themeColor="text1"/>
        </w:rPr>
        <w:t>(2)</w:t>
      </w:r>
      <w:r>
        <w:rPr>
          <w:rFonts w:eastAsia="Times New Roman"/>
          <w:color w:val="000000" w:themeColor="text1"/>
          <w:szCs w:val="24"/>
          <w:u w:color="000000" w:themeColor="text1"/>
        </w:rPr>
        <w:tab/>
        <w:t>A boat, including its motor if the motor is separately taxed, which is not currently taxed in this State and is not used exclusively in interstate commerce, is subject to property tax in this State if it is present within this State for sixty consecutive days or for ninety days in the aggregate in a property tax year</w:t>
      </w:r>
      <w:r>
        <w:rPr>
          <w:rFonts w:eastAsia="Times New Roman"/>
          <w:strike/>
          <w:color w:val="000000" w:themeColor="text1"/>
          <w:szCs w:val="24"/>
          <w:u w:color="000000" w:themeColor="text1"/>
        </w:rPr>
        <w:t>, or upon an ordinance passed by the local governing body, one hundred eighty days in the aggregate in a property tax year</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Upon an ordinance passed by the local governing body, a county may subject a boat, including its motor if the motor is separately taxed, to property tax if it is within this State for ninety days in the aggregate, regardless of the number of consecutive days.  Also, upon an ordinance passed by the local governing body, a county may increase the number of days in the aggregate a boat, including its motor if the motor is taxed separately, must be in this State to be subject to property tax to one hundred eighty days in a property tax year, regardless of the number of consecutive days.</w:t>
      </w:r>
      <w:r>
        <w:rPr>
          <w:rFonts w:eastAsia="Times New Roman"/>
          <w:color w:val="000000" w:themeColor="text1"/>
          <w:szCs w:val="24"/>
          <w:u w:color="000000" w:themeColor="text1"/>
        </w:rPr>
        <w:t xml:space="preserve">  Upon written request by a tax official, the owner must provide documentation or logs relating to the whereabouts of the boat in question.  Failure to produce requested documents creates a rebuttable presumption that the boat in question is taxable within this State.”</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E458A8" w:rsidRDefault="003C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757859">
        <w:rPr>
          <w:rFonts w:eastAsia="Times New Roman"/>
        </w:rPr>
        <w:t>.</w:t>
      </w:r>
      <w:r w:rsidR="00757859">
        <w:rPr>
          <w:rFonts w:eastAsia="Times New Roman"/>
        </w:rPr>
        <w:tab/>
        <w:t>This act takes effect upon approval by the Governor.</w:t>
      </w: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58A8" w:rsidRDefault="00E458A8" w:rsidP="000E2BB8">
      <w:pPr>
        <w:suppressAutoHyphens/>
        <w:jc w:val="both"/>
        <w:rPr>
          <w:rFonts w:eastAsia="Times New Roman"/>
        </w:rPr>
      </w:pPr>
    </w:p>
    <w:sectPr w:rsidR="00E458A8" w:rsidSect="0075785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8A8" w:rsidRDefault="00757859">
      <w:r>
        <w:separator/>
      </w:r>
    </w:p>
  </w:endnote>
  <w:endnote w:type="continuationSeparator" w:id="0">
    <w:p w:rsidR="00E458A8" w:rsidRDefault="007578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3F4F32-E846-4E2E-ACA1-0956A6447455}"/>
    <w:embedBold r:id="rId2" w:fontKey="{4C4A8F5F-D61C-4217-A86F-2CC1779C0DE6}"/>
  </w:font>
  <w:font w:name="Calibri">
    <w:panose1 w:val="020F0502020204030204"/>
    <w:charset w:val="00"/>
    <w:family w:val="swiss"/>
    <w:pitch w:val="variable"/>
    <w:sig w:usb0="A00002EF" w:usb1="4000207B" w:usb2="00000000" w:usb3="00000000" w:csb0="0000009F" w:csb1="00000000"/>
    <w:embedRegular r:id="rId3" w:fontKey="{4D997867-1A56-48BF-8C1C-1B337004FADF}"/>
  </w:font>
  <w:font w:name="Cambria">
    <w:panose1 w:val="02040503050406030204"/>
    <w:charset w:val="00"/>
    <w:family w:val="roman"/>
    <w:pitch w:val="variable"/>
    <w:sig w:usb0="A00002EF" w:usb1="4000004B" w:usb2="00000000" w:usb3="00000000" w:csb0="0000009F" w:csb1="00000000"/>
    <w:embedRegular r:id="rId4" w:fontKey="{D9799EAB-A92D-4B0F-97AB-CB2057C1EF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8A8" w:rsidRDefault="00757859">
    <w:pPr>
      <w:pStyle w:val="Footer"/>
      <w:tabs>
        <w:tab w:val="clear" w:pos="4680"/>
        <w:tab w:val="clear" w:pos="9360"/>
        <w:tab w:val="center" w:pos="2995"/>
      </w:tabs>
      <w:spacing w:before="120"/>
    </w:pPr>
    <w:r>
      <w:t>[405-</w:t>
    </w:r>
    <w:fldSimple w:instr=" PAGE  \* MERGEFORMAT ">
      <w:r w:rsidR="000E2BB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859" w:rsidRDefault="00757859">
    <w:pPr>
      <w:pStyle w:val="Footer"/>
      <w:tabs>
        <w:tab w:val="clear" w:pos="4680"/>
        <w:tab w:val="clear" w:pos="9360"/>
        <w:tab w:val="center" w:pos="2995"/>
      </w:tabs>
      <w:spacing w:before="120"/>
    </w:pPr>
    <w:r>
      <w:t>[405]</w:t>
    </w:r>
    <w:r>
      <w:tab/>
    </w:r>
    <w:fldSimple w:instr=" PAGE  \* MERGEFORMAT ">
      <w:r w:rsidR="000E2B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8A8" w:rsidRDefault="00757859">
      <w:r>
        <w:separator/>
      </w:r>
    </w:p>
  </w:footnote>
  <w:footnote w:type="continuationSeparator" w:id="0">
    <w:p w:rsidR="00E458A8" w:rsidRDefault="0075785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docVars>
    <w:docVar w:name="clipname" w:val="002BOAT.DAG.REC"/>
    <w:docVar w:name="CoverAttorneyInitials" w:val="DAG"/>
    <w:docVar w:name="CoverAttorneyLastName" w:val="Good"/>
    <w:docVar w:name="CoverBillType" w:val="b"/>
    <w:docVar w:name="CoverSenator" w:val="REC"/>
    <w:docVar w:name="dvBillNumber" w:val="405"/>
    <w:docVar w:name="dvBillNumberPrefix" w:val="S. "/>
    <w:docVar w:name="dvOriginalBody" w:val="Senate"/>
    <w:docVar w:name="fulldraftpath" w:val="L:\S-FINANC\DRAFTING\REC\002BOAT.DAG.REC.DOCX"/>
    <w:docVar w:name="NameofBody" w:val="S"/>
    <w:docVar w:name="vgroup2" w:val="S-FINANC"/>
  </w:docVars>
  <w:rsids>
    <w:rsidRoot w:val="00E458A8"/>
    <w:rsid w:val="000E2BB8"/>
    <w:rsid w:val="002E0F9D"/>
    <w:rsid w:val="003C354D"/>
    <w:rsid w:val="006467CE"/>
    <w:rsid w:val="00757859"/>
    <w:rsid w:val="008A3E07"/>
    <w:rsid w:val="00AC17F0"/>
    <w:rsid w:val="00E458A8"/>
    <w:rsid w:val="00E564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8A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458A8"/>
    <w:pPr>
      <w:tabs>
        <w:tab w:val="center" w:pos="4680"/>
        <w:tab w:val="right" w:pos="9360"/>
      </w:tabs>
    </w:pPr>
  </w:style>
  <w:style w:type="character" w:customStyle="1" w:styleId="FooterChar">
    <w:name w:val="Footer Char"/>
    <w:basedOn w:val="DefaultParagraphFont"/>
    <w:link w:val="Footer"/>
    <w:uiPriority w:val="99"/>
    <w:semiHidden/>
    <w:rsid w:val="00E458A8"/>
  </w:style>
  <w:style w:type="character" w:styleId="PageNumber">
    <w:name w:val="page number"/>
    <w:basedOn w:val="DefaultParagraphFont"/>
    <w:uiPriority w:val="99"/>
    <w:semiHidden/>
    <w:unhideWhenUsed/>
    <w:rsid w:val="00E458A8"/>
  </w:style>
  <w:style w:type="character" w:styleId="LineNumber">
    <w:name w:val="line number"/>
    <w:basedOn w:val="DefaultParagraphFont"/>
    <w:uiPriority w:val="99"/>
    <w:semiHidden/>
    <w:unhideWhenUsed/>
    <w:rsid w:val="00E458A8"/>
  </w:style>
  <w:style w:type="paragraph" w:styleId="Header">
    <w:name w:val="header"/>
    <w:basedOn w:val="Normal"/>
    <w:link w:val="HeaderChar"/>
    <w:uiPriority w:val="99"/>
    <w:semiHidden/>
    <w:unhideWhenUsed/>
    <w:rsid w:val="00E458A8"/>
    <w:pPr>
      <w:tabs>
        <w:tab w:val="center" w:pos="4680"/>
        <w:tab w:val="right" w:pos="9360"/>
      </w:tabs>
    </w:pPr>
  </w:style>
  <w:style w:type="character" w:customStyle="1" w:styleId="HeaderChar">
    <w:name w:val="Header Char"/>
    <w:basedOn w:val="DefaultParagraphFont"/>
    <w:link w:val="Header"/>
    <w:uiPriority w:val="99"/>
    <w:semiHidden/>
    <w:rsid w:val="00E458A8"/>
  </w:style>
  <w:style w:type="paragraph" w:customStyle="1" w:styleId="BillDots">
    <w:name w:val="BillDots"/>
    <w:basedOn w:val="Normal"/>
    <w:qFormat/>
    <w:rsid w:val="00E458A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458A8"/>
    <w:pPr>
      <w:tabs>
        <w:tab w:val="right" w:pos="5904"/>
      </w:tabs>
    </w:pPr>
  </w:style>
  <w:style w:type="character" w:styleId="FollowedHyperlink">
    <w:name w:val="FollowedHyperlink"/>
    <w:basedOn w:val="DefaultParagraphFont"/>
    <w:uiPriority w:val="99"/>
    <w:semiHidden/>
    <w:unhideWhenUsed/>
    <w:rsid w:val="002E0F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557</Words>
  <Characters>2693</Characters>
  <Application>Microsoft Office Word</Application>
  <DocSecurity>0</DocSecurity>
  <Lines>92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lisacourtney</cp:lastModifiedBy>
  <cp:revision>2</cp:revision>
  <dcterms:created xsi:type="dcterms:W3CDTF">2010-04-29T23:33:00Z</dcterms:created>
  <dcterms:modified xsi:type="dcterms:W3CDTF">2010-04-29T23:33:00Z</dcterms:modified>
</cp:coreProperties>
</file>