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F3CDA" w:rsidRP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729" w:rsidRDefault="00F64729" w:rsidP="004F3CDA">
      <w:pPr>
        <w:tabs>
          <w:tab w:val="right" w:pos="5933"/>
        </w:tabs>
        <w:suppressAutoHyphens/>
        <w:jc w:val="both"/>
        <w:rPr>
          <w:rFonts w:eastAsia="Times New Roman"/>
        </w:rPr>
      </w:pPr>
      <w:r>
        <w:rPr>
          <w:rFonts w:eastAsia="Times New Roman"/>
        </w:rPr>
        <w:t>HOUSE AMENDMENTS AMENDED</w:t>
      </w:r>
    </w:p>
    <w:p w:rsidR="00F64729" w:rsidRDefault="00F64729" w:rsidP="004F3CDA">
      <w:pPr>
        <w:tabs>
          <w:tab w:val="right" w:pos="5933"/>
        </w:tabs>
        <w:suppressAutoHyphens/>
        <w:jc w:val="both"/>
        <w:rPr>
          <w:rFonts w:eastAsia="Times New Roman"/>
        </w:rPr>
      </w:pPr>
      <w:r>
        <w:rPr>
          <w:rFonts w:eastAsia="Times New Roman"/>
        </w:rPr>
        <w:t>May 26, 2010</w:t>
      </w:r>
    </w:p>
    <w:p w:rsidR="00F64729" w:rsidRDefault="00F64729" w:rsidP="004F3CDA">
      <w:pPr>
        <w:tabs>
          <w:tab w:val="right" w:pos="5933"/>
        </w:tabs>
        <w:suppressAutoHyphens/>
        <w:jc w:val="both"/>
        <w:rPr>
          <w:rFonts w:eastAsia="Times New Roman"/>
        </w:rPr>
      </w:pPr>
    </w:p>
    <w:p w:rsidR="004F3CDA" w:rsidRPr="004F3CDA" w:rsidRDefault="004F3CDA" w:rsidP="004F3CDA">
      <w:pPr>
        <w:tabs>
          <w:tab w:val="right" w:pos="5933"/>
        </w:tabs>
        <w:suppressAutoHyphens/>
        <w:jc w:val="both"/>
        <w:rPr>
          <w:rFonts w:eastAsia="Times New Roman"/>
        </w:rPr>
      </w:pPr>
      <w:r>
        <w:rPr>
          <w:rFonts w:eastAsia="Times New Roman"/>
        </w:rPr>
        <w:tab/>
      </w:r>
      <w:r>
        <w:rPr>
          <w:rFonts w:eastAsia="Times New Roman"/>
          <w:b/>
          <w:sz w:val="36"/>
        </w:rPr>
        <w:t>S. 405</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F6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w:t>
      </w:r>
      <w:r w:rsidR="004F3CDA">
        <w:rPr>
          <w:rFonts w:eastAsia="Times New Roman"/>
        </w:rPr>
        <w:t>/10--</w:t>
      </w:r>
      <w:r>
        <w:rPr>
          <w:rFonts w:eastAsia="Times New Roman"/>
        </w:rPr>
        <w:t>S</w:t>
      </w:r>
      <w:r w:rsidR="004F3CDA">
        <w:rPr>
          <w:rFonts w:eastAsia="Times New Roman"/>
        </w:rPr>
        <w: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64729">
        <w:rPr>
          <w:rFonts w:eastAsia="Times New Roman"/>
        </w:rPr>
        <w:t>February 11</w:t>
      </w:r>
      <w:r>
        <w:rPr>
          <w:rFonts w:eastAsia="Times New Roman"/>
        </w:rPr>
        <w:t>, 2009.</w:t>
      </w:r>
    </w:p>
    <w:p w:rsidR="004F3CDA" w:rsidRP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00757859">
        <w:rPr>
          <w:rFonts w:eastAsia="Times New Roman"/>
          <w:color w:val="000000" w:themeColor="text1"/>
          <w:u w:color="000000" w:themeColor="text1"/>
        </w:rPr>
        <w:t>.</w:t>
      </w:r>
      <w:r w:rsidR="00757859">
        <w:rPr>
          <w:rFonts w:eastAsia="Times New Roman"/>
          <w:color w:val="000000" w:themeColor="text1"/>
          <w:u w:color="000000" w:themeColor="text1"/>
        </w:rPr>
        <w:tab/>
        <w:t>Section 12</w:t>
      </w:r>
      <w:r w:rsidR="00757859">
        <w:rPr>
          <w:rFonts w:eastAsia="Times New Roman"/>
          <w:color w:val="000000" w:themeColor="text1"/>
          <w:u w:color="000000" w:themeColor="text1"/>
        </w:rPr>
        <w:noBreakHyphen/>
        <w:t>37</w:t>
      </w:r>
      <w:r w:rsidR="00757859">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SECTION</w:t>
      </w:r>
      <w:r w:rsidRPr="00D7583C">
        <w:rPr>
          <w:rFonts w:eastAsia="Times New Roman"/>
          <w:szCs w:val="20"/>
        </w:rPr>
        <w:tab/>
      </w:r>
      <w:r>
        <w:rPr>
          <w:rFonts w:eastAsia="Times New Roman"/>
          <w:szCs w:val="20"/>
        </w:rPr>
        <w:t>3</w:t>
      </w:r>
      <w:r w:rsidRPr="00D7583C">
        <w:rPr>
          <w:rFonts w:eastAsia="Times New Roman"/>
          <w:szCs w:val="20"/>
        </w:rPr>
        <w:t>.</w:t>
      </w: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 of the 1976 Code, as last amended by Act 66 of 2007, is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w:t>
      </w:r>
      <w:r w:rsidRPr="00D7583C">
        <w:rPr>
          <w:rFonts w:eastAsia="Times New Roman"/>
          <w:szCs w:val="20"/>
        </w:rPr>
        <w:tab/>
      </w:r>
      <w:r w:rsidRPr="00D7583C">
        <w:rPr>
          <w:rFonts w:eastAsia="Times New Roman"/>
          <w:szCs w:val="20"/>
          <w:u w:val="single"/>
        </w:rPr>
        <w:t>(A)</w:t>
      </w:r>
      <w:r w:rsidRPr="00D7583C">
        <w:rPr>
          <w:rFonts w:eastAsia="Times New Roman"/>
          <w:szCs w:val="20"/>
        </w:rPr>
        <w:tab/>
      </w:r>
      <w:r w:rsidRPr="00D7583C">
        <w:t>A motor home</w:t>
      </w:r>
      <w:r w:rsidRPr="00D7583C">
        <w:rPr>
          <w:strike/>
        </w:rPr>
        <w:t>, a boat or watercraft,</w:t>
      </w:r>
      <w:r w:rsidRPr="00D7583C">
        <w:t xml:space="preserv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w:t>
      </w:r>
      <w:r w:rsidRPr="00D7583C">
        <w:lastRenderedPageBreak/>
        <w:t>home</w:t>
      </w:r>
      <w:r w:rsidRPr="00D7583C">
        <w:rPr>
          <w:strike/>
        </w:rPr>
        <w:t>, a boat or watercraft,</w:t>
      </w:r>
      <w:r w:rsidRPr="00D7583C">
        <w:t xml:space="preserve"> or trailer used for camping and recreational travel that is pulled by a motor vehicle classified for property tax purposes as a primary or secondary residence pursuant to this section must be determined in the manner that motor vehicles are valued for property tax purposes. </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u w:val="single"/>
        </w:rPr>
        <w:t>(B)(1)</w:t>
      </w:r>
      <w:r w:rsidRPr="00D7583C">
        <w:rPr>
          <w:rFonts w:eastAsia="Times New Roman"/>
          <w:szCs w:val="20"/>
        </w:rPr>
        <w:tab/>
      </w:r>
      <w:r w:rsidRPr="00D7583C">
        <w:rPr>
          <w:rFonts w:eastAsia="Times New Roman"/>
          <w:szCs w:val="20"/>
          <w:u w:val="single"/>
        </w:rPr>
        <w:t>A person who owns a boat or watercraft that contains a cooking area with an onboard power source, a toilet with exterior evacuation, and a sleeping quarter, may claim one boat or watercraft as a primary residence and one boat or watercraft as a secondary 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sidRPr="00D7583C">
        <w:rPr>
          <w:rFonts w:eastAsia="Times New Roman"/>
          <w:szCs w:val="20"/>
          <w:u w:val="single"/>
        </w:rPr>
        <w:noBreakHyphen/>
        <w:t>37</w:t>
      </w:r>
      <w:r w:rsidRPr="00D7583C">
        <w:rPr>
          <w:rFonts w:eastAsia="Times New Roman"/>
          <w:szCs w:val="20"/>
          <w:u w:val="single"/>
        </w:rPr>
        <w:noBreakHyphen/>
        <w:t>220(B)(38).</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rPr>
        <w:tab/>
      </w:r>
      <w:r w:rsidRPr="00D7583C">
        <w:rPr>
          <w:rFonts w:eastAsia="Times New Roman"/>
          <w:szCs w:val="20"/>
          <w:u w:val="single"/>
        </w:rPr>
        <w:t>(2)</w:t>
      </w:r>
      <w:r w:rsidRPr="00D7583C">
        <w:rPr>
          <w:rFonts w:eastAsia="Times New Roman"/>
          <w:szCs w:val="20"/>
        </w:rPr>
        <w:tab/>
      </w:r>
      <w:r w:rsidRPr="00D7583C">
        <w:rPr>
          <w:rFonts w:eastAsia="Times New Roman"/>
          <w:szCs w:val="20"/>
          <w:u w:val="single"/>
        </w:rPr>
        <w:t>Only an individual may claim a qualifying boat or watercraft as his primary residence for purposes of ad valorem property taxation.  The individual or his agent must certify the qualifying boat or watercraft as his primary residence pursuant to Section 12</w:t>
      </w:r>
      <w:r w:rsidRPr="00D7583C">
        <w:rPr>
          <w:rFonts w:eastAsia="Times New Roman"/>
          <w:szCs w:val="20"/>
          <w:u w:val="single"/>
        </w:rPr>
        <w:noBreakHyphen/>
        <w:t>43</w:t>
      </w:r>
      <w:r w:rsidRPr="00D7583C">
        <w:rPr>
          <w:rFonts w:eastAsia="Times New Roman"/>
          <w:szCs w:val="20"/>
          <w:u w:val="single"/>
        </w:rPr>
        <w:noBreakHyphen/>
        <w:t>220(c)(2)(ii).  Additionally, the individual or his agent must provide any proof the assessor requires pursuant to Section 12</w:t>
      </w:r>
      <w:r w:rsidRPr="00D7583C">
        <w:rPr>
          <w:rFonts w:eastAsia="Times New Roman"/>
          <w:szCs w:val="20"/>
          <w:u w:val="single"/>
        </w:rPr>
        <w:noBreakHyphen/>
        <w:t>43</w:t>
      </w:r>
      <w:r w:rsidRPr="00D7583C">
        <w:rPr>
          <w:rFonts w:eastAsia="Times New Roman"/>
          <w:szCs w:val="20"/>
          <w:u w:val="single"/>
        </w:rPr>
        <w:noBreakHyphen/>
        <w:t>220(c)(2)(iv).  One other qualifying boat or watercraft owned by an individual that cannot be considered a primary residence, or one other qualifying boat or watercraft owned by another person shall be considered a secondary residence for purposes of ad valorem property taxation.</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D7583C">
        <w:rPr>
          <w:rFonts w:eastAsia="Times New Roman"/>
          <w:szCs w:val="20"/>
        </w:rPr>
        <w:tab/>
      </w:r>
      <w:r w:rsidRPr="00D7583C">
        <w:rPr>
          <w:rFonts w:eastAsia="Times New Roman"/>
          <w:szCs w:val="20"/>
        </w:rPr>
        <w:tab/>
      </w:r>
      <w:r w:rsidRPr="00D7583C">
        <w:rPr>
          <w:rFonts w:eastAsia="Times New Roman"/>
          <w:szCs w:val="20"/>
          <w:u w:val="single"/>
        </w:rPr>
        <w:t>(3)</w:t>
      </w:r>
      <w:r w:rsidRPr="00D7583C">
        <w:rPr>
          <w:rFonts w:eastAsia="Times New Roman"/>
          <w:szCs w:val="20"/>
        </w:rPr>
        <w:tab/>
      </w:r>
      <w:r w:rsidRPr="00D7583C">
        <w:rPr>
          <w:rFonts w:eastAsia="Times New Roman"/>
          <w:szCs w:val="20"/>
          <w:u w:val="single"/>
        </w:rPr>
        <w:t>For purposes of this subsection a person includes an individual, a sole proprietorship, partnership, and an ‘S’ corporation, including a limited liability company taxed as sole proprietorship, partnership, or ‘S’ corporation.</w:t>
      </w:r>
      <w:r w:rsidRPr="00D7583C">
        <w:rPr>
          <w:rFonts w:eastAsia="Times New Roman"/>
          <w:szCs w:val="20"/>
        </w:rPr>
        <w: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38FC">
        <w:rPr>
          <w:rFonts w:eastAsia="Times New Roman"/>
          <w:szCs w:val="20"/>
        </w:rPr>
        <w:t>SECTION</w:t>
      </w:r>
      <w:r>
        <w:rPr>
          <w:rFonts w:eastAsia="Times New Roman"/>
          <w:szCs w:val="20"/>
        </w:rPr>
        <w:tab/>
        <w:t>4.</w:t>
      </w:r>
      <w:r>
        <w:rPr>
          <w:rFonts w:eastAsia="Times New Roman"/>
          <w:szCs w:val="20"/>
        </w:rPr>
        <w:tab/>
      </w:r>
      <w:r w:rsidRPr="00D738FC">
        <w:rPr>
          <w:rFonts w:eastAsia="Times New Roman"/>
          <w:szCs w:val="20"/>
        </w:rPr>
        <w:t>Section 50</w:t>
      </w:r>
      <w:r w:rsidRPr="00D738FC">
        <w:rPr>
          <w:rFonts w:eastAsia="Times New Roman"/>
          <w:szCs w:val="20"/>
        </w:rPr>
        <w:noBreakHyphen/>
        <w:t>23</w:t>
      </w:r>
      <w:r w:rsidRPr="00D738FC">
        <w:rPr>
          <w:rFonts w:eastAsia="Times New Roman"/>
          <w:szCs w:val="20"/>
        </w:rPr>
        <w:noBreakHyphen/>
        <w:t>295 of the 1976 Code, as added by Act 91 of 2007, is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8FC">
        <w:rPr>
          <w:rFonts w:eastAsia="Times New Roman"/>
          <w:szCs w:val="20"/>
        </w:rPr>
        <w:tab/>
        <w:t>“Section 50</w:t>
      </w:r>
      <w:r w:rsidRPr="00D738FC">
        <w:rPr>
          <w:rFonts w:eastAsia="Times New Roman"/>
          <w:szCs w:val="20"/>
        </w:rPr>
        <w:noBreakHyphen/>
        <w:t>23</w:t>
      </w:r>
      <w:r w:rsidRPr="00D738FC">
        <w:rPr>
          <w:rFonts w:eastAsia="Times New Roman"/>
          <w:szCs w:val="20"/>
        </w:rPr>
        <w:noBreakHyphen/>
        <w:t>295.</w:t>
      </w:r>
      <w:r w:rsidRPr="00D738FC">
        <w:rPr>
          <w:rFonts w:eastAsia="Times New Roman"/>
          <w:szCs w:val="20"/>
        </w:rPr>
        <w:tab/>
      </w:r>
      <w:r>
        <w:t>(A)</w:t>
      </w:r>
      <w:r>
        <w:tab/>
      </w:r>
      <w:r w:rsidRPr="00D738FC">
        <w:t xml:space="preserve">A certificate of title to watercraft or an outboard motor may not be transferred if the department has notice that property taxes for property tax years beginning after 1999, are owed on the watercraft or outboard motor.  If transfer of title has been denied pursuant to this section, a tax receipt on the watercraft or outboard motor from the person officially charged with the collection of ad valorem taxes in the county where the </w:t>
      </w:r>
      <w:r w:rsidRPr="00D738FC">
        <w:lastRenderedPageBreak/>
        <w:t xml:space="preserve">taxes are due must be accepted as proof that the taxes have been paid.  The bill of sale or title to watercraft or an outboard motor must require certification that property taxes that are due and payable for property tax years beginning after 1999, have been paid and are current as of the date of sale. </w:t>
      </w:r>
    </w:p>
    <w:p w:rsidR="00F64729" w:rsidRDefault="00F64729" w:rsidP="00F6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ab/>
      </w:r>
      <w:r w:rsidRPr="00D1128B">
        <w:t>(B</w:t>
      </w:r>
      <w:r>
        <w:t>)</w:t>
      </w:r>
      <w:r>
        <w:tab/>
        <w:t xml:space="preserve">  </w:t>
      </w:r>
      <w:r>
        <w:rPr>
          <w:u w:val="single"/>
        </w:rPr>
        <w:t>A person who knowingly sells a watercraft for which he owes unpaid and outstanding property taxes, or on which he knows there is a property tax lien, is guilty of a misdemeanor and, upon conviction, must be fined not more than one thousand dollars or imprisoned not more than thirty days.</w:t>
      </w:r>
      <w:r w:rsidRPr="005D2C9B">
        <w:t xml:space="preserve">  </w:t>
      </w:r>
      <w:r>
        <w:t>In addition to all</w:t>
      </w:r>
      <w:r w:rsidRPr="00D1128B">
        <w:t xml:space="preserve"> applicable criminal penalties, </w:t>
      </w:r>
      <w:r w:rsidRPr="00584887">
        <w:rPr>
          <w:strike/>
        </w:rPr>
        <w:t xml:space="preserve">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attorney’s fees</w:t>
      </w:r>
      <w:r>
        <w:t>.</w:t>
      </w:r>
      <w:r>
        <w:tab/>
      </w:r>
    </w:p>
    <w:p w:rsidR="004F3CDA" w:rsidRDefault="00F64729" w:rsidP="00F6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tab/>
      </w:r>
      <w:r w:rsidRPr="00BD70FA">
        <w:t>(C)</w:t>
      </w:r>
      <w:r w:rsidRPr="00D738FC">
        <w:tab/>
        <w:t>The county treasurer or other appropriate official annually,</w:t>
      </w:r>
      <w:r>
        <w:t xml:space="preserve"> </w:t>
      </w:r>
      <w:r w:rsidR="004F3CDA" w:rsidRPr="00D738FC">
        <w:t>or more frequently as the county considers appropriate, shall transmit a list of delinquent taxes due on watercraft and outboard motors to the department.  The list may be transmitted in any electronic format considered acceptable by the department.”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4729">
        <w:rPr>
          <w:rFonts w:eastAsia="Times New Roman"/>
        </w:rPr>
        <w:t>5</w:t>
      </w:r>
      <w:r w:rsidR="00757859">
        <w:rPr>
          <w:rFonts w:eastAsia="Times New Roman"/>
        </w:rPr>
        <w:t>.</w:t>
      </w:r>
      <w:r w:rsidR="00757859">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3E460E">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8A8" w:rsidRDefault="00757859">
      <w:r>
        <w:separator/>
      </w:r>
    </w:p>
  </w:endnote>
  <w:endnote w:type="continuationSeparator" w:id="0">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8890C1-5B29-4F49-855A-3E009B13F960}"/>
    <w:embedBold r:id="rId2" w:fontKey="{994DD0C2-25D5-4664-A90D-C517D9699FB3}"/>
  </w:font>
  <w:font w:name="Calibri">
    <w:panose1 w:val="020F0502020204030204"/>
    <w:charset w:val="00"/>
    <w:family w:val="swiss"/>
    <w:pitch w:val="variable"/>
    <w:sig w:usb0="A00002EF" w:usb1="4000207B" w:usb2="00000000" w:usb3="00000000" w:csb0="0000009F" w:csb1="00000000"/>
    <w:embedRegular r:id="rId3" w:fontKey="{3BE9F86F-F0AD-4527-AE4B-CF800D89E259}"/>
  </w:font>
  <w:font w:name="Cambria">
    <w:panose1 w:val="02040503050406030204"/>
    <w:charset w:val="00"/>
    <w:family w:val="roman"/>
    <w:pitch w:val="variable"/>
    <w:sig w:usb0="A00002EF" w:usb1="4000004B" w:usb2="00000000" w:usb3="00000000" w:csb0="0000009F" w:csb1="00000000"/>
    <w:embedRegular r:id="rId4" w:fontKey="{5B25167F-C458-4665-85FF-6F842F4EA2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3E460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3E46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8A8" w:rsidRDefault="00757859">
      <w:r>
        <w:separator/>
      </w:r>
    </w:p>
  </w:footnote>
  <w:footnote w:type="continuationSeparator" w:id="0">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1B493C"/>
    <w:rsid w:val="003C354D"/>
    <w:rsid w:val="003E460E"/>
    <w:rsid w:val="004F3CDA"/>
    <w:rsid w:val="006467CE"/>
    <w:rsid w:val="00757859"/>
    <w:rsid w:val="00871562"/>
    <w:rsid w:val="008A3E07"/>
    <w:rsid w:val="00AD24A0"/>
    <w:rsid w:val="00E458A8"/>
    <w:rsid w:val="00E56476"/>
    <w:rsid w:val="00F64729"/>
    <w:rsid w:val="00F925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BrentWalling</cp:lastModifiedBy>
  <cp:revision>2</cp:revision>
  <dcterms:created xsi:type="dcterms:W3CDTF">2010-05-27T00:18:00Z</dcterms:created>
  <dcterms:modified xsi:type="dcterms:W3CDTF">2010-05-27T00:18:00Z</dcterms:modified>
</cp:coreProperties>
</file>