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51B9D" w:rsidRP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810321">
        <w:rPr>
          <w:rFonts w:eastAsia="Times New Roman"/>
        </w:rPr>
        <w:t>AMENDMENT ADOPTED</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March </w:t>
      </w:r>
      <w:r w:rsidR="00810321">
        <w:rPr>
          <w:rFonts w:eastAsia="Times New Roman"/>
        </w:rPr>
        <w:t>4</w:t>
      </w:r>
      <w:r>
        <w:rPr>
          <w:rFonts w:eastAsia="Times New Roman"/>
        </w:rPr>
        <w:t>, 2010</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B9D" w:rsidRPr="00C51B9D" w:rsidRDefault="00C51B9D" w:rsidP="00C51B9D">
      <w:pPr>
        <w:tabs>
          <w:tab w:val="right" w:pos="5933"/>
        </w:tabs>
        <w:suppressAutoHyphens/>
        <w:jc w:val="both"/>
        <w:rPr>
          <w:rFonts w:eastAsia="Times New Roman"/>
        </w:rPr>
      </w:pPr>
      <w:r>
        <w:rPr>
          <w:rFonts w:eastAsia="Times New Roman"/>
        </w:rPr>
        <w:tab/>
      </w:r>
      <w:r>
        <w:rPr>
          <w:rFonts w:eastAsia="Times New Roman"/>
          <w:b/>
          <w:sz w:val="36"/>
        </w:rPr>
        <w:t>S. 591</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B9D" w:rsidRDefault="00C51B9D" w:rsidP="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Lourie</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w:t>
      </w:r>
      <w:r w:rsidR="00810321">
        <w:rPr>
          <w:rFonts w:eastAsia="Times New Roman"/>
        </w:rPr>
        <w:t>4</w:t>
      </w:r>
      <w:r>
        <w:rPr>
          <w:rFonts w:eastAsia="Times New Roman"/>
        </w:rPr>
        <w:t>/10--S.</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2009.</w:t>
      </w:r>
    </w:p>
    <w:p w:rsidR="00C51B9D" w:rsidRDefault="00C51B9D" w:rsidP="0081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1B9D" w:rsidSect="00C51B9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cs="Arial"/>
          <w:szCs w:val="20"/>
        </w:rPr>
        <w:t>TO AMEND SECTIONS 22</w:t>
      </w:r>
      <w:r>
        <w:rPr>
          <w:rFonts w:eastAsia="Times New Roman" w:cs="Arial"/>
          <w:szCs w:val="20"/>
        </w:rPr>
        <w:noBreakHyphen/>
        <w:t>3</w:t>
      </w:r>
      <w:r>
        <w:rPr>
          <w:rFonts w:eastAsia="Times New Roman" w:cs="Arial"/>
          <w:szCs w:val="20"/>
        </w:rPr>
        <w:noBreakHyphen/>
        <w:t>1330, 22</w:t>
      </w:r>
      <w:r>
        <w:rPr>
          <w:rFonts w:eastAsia="Times New Roman" w:cs="Arial"/>
          <w:szCs w:val="20"/>
        </w:rPr>
        <w:noBreakHyphen/>
        <w:t>3</w:t>
      </w:r>
      <w:r>
        <w:rPr>
          <w:rFonts w:eastAsia="Times New Roman" w:cs="Arial"/>
          <w:szCs w:val="20"/>
        </w:rPr>
        <w:noBreakHyphen/>
        <w:t>1340, 22</w:t>
      </w:r>
      <w:r>
        <w:rPr>
          <w:rFonts w:eastAsia="Times New Roman" w:cs="Arial"/>
          <w:szCs w:val="20"/>
        </w:rPr>
        <w:noBreakHyphen/>
        <w:t>3</w:t>
      </w:r>
      <w:r>
        <w:rPr>
          <w:rFonts w:eastAsia="Times New Roman" w:cs="Arial"/>
          <w:szCs w:val="20"/>
        </w:rPr>
        <w:noBreakHyphen/>
        <w:t>1370, 22</w:t>
      </w:r>
      <w:r>
        <w:rPr>
          <w:rFonts w:eastAsia="Times New Roman" w:cs="Arial"/>
          <w:szCs w:val="20"/>
        </w:rPr>
        <w:noBreakHyphen/>
        <w:t>3</w:t>
      </w:r>
      <w:r>
        <w:rPr>
          <w:rFonts w:eastAsia="Times New Roman" w:cs="Arial"/>
          <w:szCs w:val="20"/>
        </w:rPr>
        <w:noBreakHyphen/>
        <w:t>1400, AND 22</w:t>
      </w:r>
      <w:r>
        <w:rPr>
          <w:rFonts w:eastAsia="Times New Roman" w:cs="Arial"/>
          <w:szCs w:val="20"/>
        </w:rPr>
        <w:noBreakHyphen/>
        <w:t>3</w:t>
      </w:r>
      <w:r>
        <w:rPr>
          <w:rFonts w:eastAsia="Times New Roman" w:cs="Arial"/>
          <w:szCs w:val="20"/>
        </w:rPr>
        <w:noBreakHyphen/>
        <w:t xml:space="preserve">1410 </w:t>
      </w:r>
      <w:r>
        <w:rPr>
          <w:rFonts w:eastAsia="Times New Roman"/>
          <w:szCs w:val="20"/>
        </w:rPr>
        <w:t>OF THE 1976 CODE, ALL RELATING TO PROCEEDINGS IN CLAIM AND DELIVERY ACTIONS, TO ALLOW SERVICE OF PROCESS BY PERSONS OTHER THAN CONSTABLES.</w:t>
      </w:r>
    </w:p>
    <w:p w:rsidR="00810321" w:rsidRDefault="0081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22</w:t>
      </w:r>
      <w:r>
        <w:rPr>
          <w:rFonts w:eastAsia="Times New Roman"/>
          <w:color w:val="000000" w:themeColor="text1"/>
          <w:u w:color="000000" w:themeColor="text1"/>
        </w:rPr>
        <w:noBreakHyphen/>
        <w:t>3</w:t>
      </w:r>
      <w:r>
        <w:rPr>
          <w:rFonts w:eastAsia="Times New Roman"/>
          <w:color w:val="000000" w:themeColor="text1"/>
          <w:u w:color="000000" w:themeColor="text1"/>
        </w:rPr>
        <w:noBreakHyphen/>
        <w:t>1330 of the 1976 Code is amended to read:</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1330.(a)</w:t>
      </w:r>
      <w:r>
        <w:rPr>
          <w:color w:val="000000" w:themeColor="text1"/>
          <w:u w:color="000000" w:themeColor="text1"/>
        </w:rPr>
        <w:tab/>
        <w:t xml:space="preserve">On receipt of such affidavit and an undertaking in writing, executed by one or more sufficient sureties, to be approved by the magistrate before whom such action is commenced, to the effect that they are bound in double the value of such property as stated in such affidavit, for the prosecution of the action, for the return of the property to the defendant, if return thereof be adjudged, and for the payment to him of such sum as may, for any cause, be recovered against the plaintiff, the magistrate shall at the same time issue both a summons and a notice of right to preseizure hearing, with a copy of the undertaking and plaintiff’s affidavit, directed to </w:t>
      </w:r>
      <w:r>
        <w:rPr>
          <w:strike/>
          <w:color w:val="000000" w:themeColor="text1"/>
          <w:u w:color="000000" w:themeColor="text1"/>
        </w:rPr>
        <w:t>the defendant</w:t>
      </w:r>
      <w:r>
        <w:rPr>
          <w:color w:val="000000" w:themeColor="text1"/>
          <w:u w:color="000000" w:themeColor="text1"/>
        </w:rPr>
        <w:t xml:space="preserve"> and to be served </w:t>
      </w:r>
      <w:r>
        <w:rPr>
          <w:strike/>
          <w:color w:val="000000" w:themeColor="text1"/>
          <w:u w:color="000000" w:themeColor="text1"/>
        </w:rPr>
        <w:t>by the constable</w:t>
      </w:r>
      <w:r>
        <w:rPr>
          <w:color w:val="000000" w:themeColor="text1"/>
          <w:u w:color="000000" w:themeColor="text1"/>
        </w:rPr>
        <w:t xml:space="preserve"> </w:t>
      </w:r>
      <w:r>
        <w:rPr>
          <w:color w:val="000000" w:themeColor="text1"/>
          <w:u w:val="single" w:color="000000" w:themeColor="text1"/>
        </w:rPr>
        <w:t>upon the defendant</w:t>
      </w:r>
      <w:r>
        <w:rPr>
          <w:color w:val="000000" w:themeColor="text1"/>
          <w:u w:color="000000" w:themeColor="text1"/>
        </w:rPr>
        <w:t>.</w:t>
      </w: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color w:val="000000" w:themeColor="text1"/>
          <w:u w:color="000000" w:themeColor="text1"/>
        </w:rPr>
        <w:tab/>
      </w:r>
      <w:r>
        <w:rPr>
          <w:rFonts w:eastAsia="Times New Roman"/>
          <w:szCs w:val="24"/>
        </w:rPr>
        <w:t>(b)</w:t>
      </w:r>
      <w:r>
        <w:rPr>
          <w:rFonts w:eastAsia="Times New Roman"/>
          <w:szCs w:val="24"/>
        </w:rPr>
        <w:tab/>
        <w:t xml:space="preserve">The notice of right to a preseizure hearing so issued and served shall notify the defendant that within five days from service thereof, he may demand such hearing and present such evidence touching upon the probable validity of the plaintiff’s claim for immediate possession and defendant’s right to continue in possession, but if the defendant fails to make timely demand for </w:t>
      </w:r>
      <w:r>
        <w:rPr>
          <w:rFonts w:eastAsia="Times New Roman"/>
          <w:szCs w:val="24"/>
        </w:rPr>
        <w:lastRenderedPageBreak/>
        <w:t xml:space="preserve">preseizure hearing, the constable will be directed to take the property described in the affidavit. </w:t>
      </w: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(c)</w:t>
      </w:r>
      <w:r>
        <w:rPr>
          <w:rFonts w:eastAsia="Times New Roman"/>
          <w:szCs w:val="24"/>
        </w:rPr>
        <w:tab/>
        <w:t xml:space="preserve">The summons so issued and served will require the defendant to appear before the magistrate at a time and place to be therein specified, not more than twenty days from the date thereof, to answer the complaint of the plaintiff.  The summons shall contain a notice to the defendant that in case he shall fail to appear at the time and place therein mentioned the plaintiff will have judgment for the possession of the property described in the affidavit with the costs and disbursements of the action. </w:t>
      </w: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(d)</w:t>
      </w:r>
      <w:r>
        <w:rPr>
          <w:rFonts w:eastAsia="Times New Roman"/>
          <w:szCs w:val="24"/>
        </w:rPr>
        <w:tab/>
        <w:t>If the defendant fails to demand a preseizure hearing, or, if after such hearing the magistrate shall find that plaintiff’s claim for immediate possession should be allowed, then the magistrate shall endorse upon the affidavit a direction to any constable of the county in which the magistrate shall reside, requiring such constable to take the property described therein from the defendant and keep it, to be disposed of according to law.  For the endorsement in such affidavit the magistrate shall receive an additional fee of twenty</w:t>
      </w:r>
      <w:r>
        <w:rPr>
          <w:rFonts w:eastAsia="Times New Roman"/>
          <w:szCs w:val="24"/>
        </w:rPr>
        <w:noBreakHyphen/>
        <w:t>five cents, which shall be included in the costs of the suit.</w:t>
      </w: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(e)</w:t>
      </w:r>
      <w:r>
        <w:rPr>
          <w:rFonts w:eastAsia="Times New Roman"/>
          <w:szCs w:val="24"/>
        </w:rPr>
        <w:tab/>
      </w:r>
      <w:r>
        <w:rPr>
          <w:rFonts w:eastAsia="Times New Roman"/>
          <w:szCs w:val="24"/>
          <w:u w:val="single"/>
        </w:rPr>
        <w:t xml:space="preserve">Unless an alternative means is authorized by this article, any service of process pursuant to this article is to be effectuated as </w:t>
      </w:r>
      <w:r w:rsidR="00810321">
        <w:rPr>
          <w:rFonts w:eastAsia="Times New Roman"/>
          <w:szCs w:val="24"/>
          <w:u w:val="single"/>
        </w:rPr>
        <w:t>provided in the South Carolina Rules of Civil Procedure and the South Carolina Rules of Magistrates Court.</w:t>
      </w:r>
      <w:r w:rsidR="00810321">
        <w:rPr>
          <w:rFonts w:eastAsia="Times New Roman"/>
          <w:szCs w:val="24"/>
        </w:rPr>
        <w:t>”</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1340 of the 1976 Code is amended to read:</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1340.</w:t>
      </w:r>
      <w:r>
        <w:rPr>
          <w:color w:val="000000" w:themeColor="text1"/>
          <w:u w:color="000000" w:themeColor="text1"/>
        </w:rPr>
        <w:tab/>
      </w:r>
      <w:r>
        <w:rPr>
          <w:rFonts w:eastAsia="Times New Roman"/>
          <w:color w:val="000000" w:themeColor="text1"/>
          <w:szCs w:val="24"/>
          <w:u w:color="000000" w:themeColor="text1"/>
        </w:rPr>
        <w:t xml:space="preserve">The defendant may, at any time after such service and at least two days before the return day of the summons, serve upon the plaintiff </w:t>
      </w:r>
      <w:r>
        <w:rPr>
          <w:rFonts w:eastAsia="Times New Roman"/>
          <w:strike/>
          <w:color w:val="000000" w:themeColor="text1"/>
          <w:szCs w:val="24"/>
          <w:u w:color="000000" w:themeColor="text1"/>
        </w:rPr>
        <w:t>or upon the constable who made such service</w:t>
      </w:r>
      <w:r>
        <w:rPr>
          <w:rFonts w:eastAsia="Times New Roman"/>
          <w:color w:val="000000" w:themeColor="text1"/>
          <w:szCs w:val="24"/>
          <w:u w:color="000000" w:themeColor="text1"/>
        </w:rPr>
        <w:t xml:space="preserve"> a notice in writing that he excepts to the sureties in the bond or undertaking and if he fail</w:t>
      </w:r>
      <w:r w:rsidR="0057298E">
        <w:rPr>
          <w:rFonts w:eastAsia="Times New Roman"/>
          <w:color w:val="000000" w:themeColor="text1"/>
          <w:szCs w:val="24"/>
          <w:u w:color="000000" w:themeColor="text1"/>
        </w:rPr>
        <w:t>s</w:t>
      </w:r>
      <w:r>
        <w:rPr>
          <w:rFonts w:eastAsia="Times New Roman"/>
          <w:color w:val="000000" w:themeColor="text1"/>
          <w:szCs w:val="24"/>
          <w:u w:color="000000" w:themeColor="text1"/>
        </w:rPr>
        <w:t xml:space="preserve"> to do so all objection thereto shall be waived.  If such notice be served, the sureties shall justify or the plaintiff shall give new sureties on the return day of such summons, who shall then appear and justify, or the magistrate shall order the property delivered to the defendant and shall also render judgment for defendant’s costs and disbursements.”</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w:t>
      </w:r>
      <w:r>
        <w:rPr>
          <w:rFonts w:eastAsia="Times New Roman"/>
          <w:color w:val="000000" w:themeColor="text1"/>
          <w:szCs w:val="24"/>
          <w:u w:color="000000" w:themeColor="text1"/>
        </w:rPr>
        <w:tab/>
        <w:t>Section 22</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1370 of the 1976 Code is amended to read:</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lastRenderedPageBreak/>
        <w:tab/>
        <w:t>“Section 22</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1370.</w:t>
      </w:r>
      <w:r>
        <w:rPr>
          <w:rFonts w:eastAsia="Times New Roman"/>
          <w:color w:val="000000" w:themeColor="text1"/>
          <w:szCs w:val="24"/>
          <w:u w:color="000000" w:themeColor="text1"/>
        </w:rPr>
        <w:tab/>
      </w:r>
      <w:r>
        <w:rPr>
          <w:strike/>
          <w:color w:val="000000" w:themeColor="text1"/>
          <w:u w:color="000000" w:themeColor="text1"/>
        </w:rPr>
        <w:t>The magistrate shall concurrently have served on the defendant, when</w:t>
      </w:r>
      <w:r>
        <w:rPr>
          <w:color w:val="000000" w:themeColor="text1"/>
          <w:u w:color="000000" w:themeColor="text1"/>
        </w:rPr>
        <w:t xml:space="preserve"> </w:t>
      </w:r>
      <w:r>
        <w:rPr>
          <w:color w:val="000000" w:themeColor="text1"/>
          <w:u w:val="single" w:color="000000" w:themeColor="text1"/>
        </w:rPr>
        <w:t>When</w:t>
      </w:r>
      <w:r>
        <w:rPr>
          <w:color w:val="000000" w:themeColor="text1"/>
          <w:u w:color="000000" w:themeColor="text1"/>
        </w:rPr>
        <w:t xml:space="preserve"> immediate possession of the subject property is not being taken, </w:t>
      </w:r>
      <w:r>
        <w:rPr>
          <w:color w:val="000000" w:themeColor="text1"/>
          <w:u w:val="single" w:color="000000" w:themeColor="text1"/>
        </w:rPr>
        <w:t>the magistrate shall issue</w:t>
      </w:r>
      <w:r>
        <w:rPr>
          <w:color w:val="000000" w:themeColor="text1"/>
          <w:u w:color="000000" w:themeColor="text1"/>
        </w:rPr>
        <w:t xml:space="preserve"> an order</w:t>
      </w:r>
      <w:r>
        <w:rPr>
          <w:color w:val="000000" w:themeColor="text1"/>
          <w:u w:val="single" w:color="000000" w:themeColor="text1"/>
        </w:rPr>
        <w:t>, to be served upon the defendant, which restrains</w:t>
      </w:r>
      <w:r>
        <w:rPr>
          <w:color w:val="000000" w:themeColor="text1"/>
          <w:u w:color="000000" w:themeColor="text1"/>
        </w:rPr>
        <w:t xml:space="preserve"> </w:t>
      </w:r>
      <w:r>
        <w:rPr>
          <w:strike/>
          <w:color w:val="000000" w:themeColor="text1"/>
          <w:u w:color="000000" w:themeColor="text1"/>
        </w:rPr>
        <w:t>restraining</w:t>
      </w:r>
      <w:r>
        <w:rPr>
          <w:color w:val="000000" w:themeColor="text1"/>
          <w:u w:color="000000" w:themeColor="text1"/>
        </w:rPr>
        <w:t xml:space="preserve"> the defendant from damaging, concealing</w:t>
      </w:r>
      <w:r w:rsidR="0057298E">
        <w:rPr>
          <w:color w:val="000000" w:themeColor="text1"/>
          <w:u w:color="000000" w:themeColor="text1"/>
        </w:rPr>
        <w:t>,</w:t>
      </w:r>
      <w:r>
        <w:rPr>
          <w:color w:val="000000" w:themeColor="text1"/>
          <w:u w:color="000000" w:themeColor="text1"/>
        </w:rPr>
        <w:t xml:space="preserve"> or removing such property.  Upon proper showing that such order has been violated, the defendant shall be subject to a fine not to exceed one hundred dollars or imprisonment for not more than thirty days.”</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1400 of the 1976 Code is amended to read:</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1400.</w:t>
      </w:r>
      <w:r>
        <w:rPr>
          <w:color w:val="000000" w:themeColor="text1"/>
          <w:u w:color="000000" w:themeColor="text1"/>
        </w:rPr>
        <w:tab/>
        <w:t>If it shall appear</w:t>
      </w:r>
      <w:r>
        <w:rPr>
          <w:color w:val="000000" w:themeColor="text1"/>
          <w:u w:val="single" w:color="000000" w:themeColor="text1"/>
        </w:rPr>
        <w:t>, upon proper showing,</w:t>
      </w:r>
      <w:r>
        <w:rPr>
          <w:color w:val="000000" w:themeColor="text1"/>
          <w:u w:color="000000" w:themeColor="text1"/>
        </w:rPr>
        <w:t xml:space="preserve"> </w:t>
      </w:r>
      <w:r>
        <w:rPr>
          <w:strike/>
          <w:color w:val="000000" w:themeColor="text1"/>
          <w:u w:color="000000" w:themeColor="text1"/>
        </w:rPr>
        <w:t>by the return of a constable that he has taken the property described in the plaintiff’s affidavit and</w:t>
      </w:r>
      <w:r>
        <w:rPr>
          <w:color w:val="000000" w:themeColor="text1"/>
          <w:u w:color="000000" w:themeColor="text1"/>
        </w:rPr>
        <w:t xml:space="preserve"> that the defendant cannot be found and has no last place of abode in the county and that no agent of defendant could be found on whom service could be made, the magistrate may proceed with the cause in the same manner as though there had been a personal service.”</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1410 of the 1976 Code is amended to read:</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Pr>
          <w:color w:val="000000" w:themeColor="text1"/>
          <w:u w:color="000000" w:themeColor="text1"/>
        </w:rPr>
        <w:t>Section 22</w:t>
      </w:r>
      <w:r>
        <w:rPr>
          <w:color w:val="000000" w:themeColor="text1"/>
          <w:u w:color="000000" w:themeColor="text1"/>
        </w:rPr>
        <w:noBreakHyphen/>
        <w:t>3</w:t>
      </w:r>
      <w:r>
        <w:rPr>
          <w:color w:val="000000" w:themeColor="text1"/>
          <w:u w:color="000000" w:themeColor="text1"/>
        </w:rPr>
        <w:noBreakHyphen/>
        <w:t>1410.</w:t>
      </w:r>
      <w:r>
        <w:rPr>
          <w:color w:val="000000" w:themeColor="text1"/>
          <w:u w:color="000000" w:themeColor="text1"/>
        </w:rPr>
        <w:tab/>
        <w:t xml:space="preserve">The </w:t>
      </w:r>
      <w:r>
        <w:rPr>
          <w:strike/>
          <w:color w:val="000000" w:themeColor="text1"/>
          <w:u w:color="000000" w:themeColor="text1"/>
        </w:rPr>
        <w:t>constable to whom the</w:t>
      </w:r>
      <w:r>
        <w:rPr>
          <w:color w:val="000000" w:themeColor="text1"/>
          <w:u w:color="000000" w:themeColor="text1"/>
        </w:rPr>
        <w:t xml:space="preserve"> affidavit, endorsement, notice of preseizure hearing</w:t>
      </w:r>
      <w:r>
        <w:rPr>
          <w:color w:val="000000" w:themeColor="text1"/>
          <w:u w:val="single" w:color="000000" w:themeColor="text1"/>
        </w:rPr>
        <w:t>,</w:t>
      </w:r>
      <w:r>
        <w:rPr>
          <w:color w:val="000000" w:themeColor="text1"/>
          <w:u w:color="000000" w:themeColor="text1"/>
        </w:rPr>
        <w:t xml:space="preserve"> and summons </w:t>
      </w:r>
      <w:r>
        <w:rPr>
          <w:strike/>
          <w:color w:val="000000" w:themeColor="text1"/>
          <w:u w:color="000000" w:themeColor="text1"/>
        </w:rPr>
        <w:t>shall be delivered,</w:t>
      </w:r>
      <w:r>
        <w:rPr>
          <w:color w:val="000000" w:themeColor="text1"/>
          <w:u w:color="000000" w:themeColor="text1"/>
        </w:rPr>
        <w:t xml:space="preserve"> shall</w:t>
      </w:r>
      <w:r>
        <w:rPr>
          <w:strike/>
          <w:color w:val="000000" w:themeColor="text1"/>
          <w:u w:color="000000" w:themeColor="text1"/>
        </w:rPr>
        <w:t>, without delay, serve</w:t>
      </w:r>
      <w:r>
        <w:rPr>
          <w:color w:val="000000" w:themeColor="text1"/>
          <w:u w:color="000000" w:themeColor="text1"/>
        </w:rPr>
        <w:t xml:space="preserve"> </w:t>
      </w:r>
      <w:r>
        <w:rPr>
          <w:color w:val="000000" w:themeColor="text1"/>
          <w:u w:val="single" w:color="000000" w:themeColor="text1"/>
        </w:rPr>
        <w:t>be served</w:t>
      </w:r>
      <w:r>
        <w:rPr>
          <w:color w:val="000000" w:themeColor="text1"/>
          <w:u w:color="000000" w:themeColor="text1"/>
        </w:rPr>
        <w:t xml:space="preserve"> upon the defendant </w:t>
      </w:r>
      <w:r>
        <w:rPr>
          <w:strike/>
          <w:color w:val="000000" w:themeColor="text1"/>
          <w:u w:color="000000" w:themeColor="text1"/>
        </w:rPr>
        <w:t>a copy of the affidavit, notice and summons,</w:t>
      </w:r>
      <w:r>
        <w:rPr>
          <w:color w:val="000000" w:themeColor="text1"/>
          <w:u w:color="000000" w:themeColor="text1"/>
        </w:rPr>
        <w:t xml:space="preserve"> by delivering them to him personally, but, if he cannot be found, to the agent of the defendant in whose possession the property shall be found and, if neither can be found, by leaving such copies at his place of business or the last or usual place of abode of the defendant with some person of suitable age and discretion.  </w:t>
      </w:r>
      <w:r>
        <w:rPr>
          <w:strike/>
          <w:color w:val="000000" w:themeColor="text1"/>
          <w:u w:color="000000" w:themeColor="text1"/>
        </w:rPr>
        <w:t>He shall forthwith make a</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return of </w:t>
      </w:r>
      <w:r>
        <w:rPr>
          <w:strike/>
          <w:color w:val="000000" w:themeColor="text1"/>
          <w:u w:color="000000" w:themeColor="text1"/>
        </w:rPr>
        <w:t>his</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proceedings thereon and the manner of serving the documents </w:t>
      </w:r>
      <w:r>
        <w:rPr>
          <w:color w:val="000000" w:themeColor="text1"/>
          <w:u w:val="single" w:color="000000" w:themeColor="text1"/>
        </w:rPr>
        <w:t>shall be made</w:t>
      </w:r>
      <w:r>
        <w:rPr>
          <w:color w:val="000000" w:themeColor="text1"/>
          <w:u w:color="000000" w:themeColor="text1"/>
        </w:rPr>
        <w:t xml:space="preserve"> to the magistrate who issued the summons.  Upon the magistrate endorsing upon the affidavit a direction requiring </w:t>
      </w:r>
      <w:r>
        <w:rPr>
          <w:strike/>
          <w:color w:val="000000" w:themeColor="text1"/>
          <w:u w:color="000000" w:themeColor="text1"/>
        </w:rPr>
        <w:t>the</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constable to take the property, the constable to whom the affidavit and endorsement is delivered shall forthwith take the property described in the affidavit, if he can find it in the county, and shall keep it in his custody.”</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This act takes effect upon approval by the Governor.</w:t>
      </w: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29B2" w:rsidRDefault="008F29B2" w:rsidP="009669A5">
      <w:pPr>
        <w:suppressAutoHyphens/>
        <w:jc w:val="both"/>
        <w:rPr>
          <w:rFonts w:eastAsia="Times New Roman"/>
        </w:rPr>
      </w:pPr>
    </w:p>
    <w:sectPr w:rsidR="008F29B2" w:rsidSect="00C51B9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9B2" w:rsidRDefault="00C51B9D">
      <w:r>
        <w:separator/>
      </w:r>
    </w:p>
  </w:endnote>
  <w:endnote w:type="continuationSeparator" w:id="0">
    <w:p w:rsidR="008F29B2" w:rsidRDefault="00C51B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2BBC42-EAAE-4B73-91C4-AC9496040B83}"/>
    <w:embedBold r:id="rId2" w:fontKey="{BE009825-0DD7-45C0-8A16-5CC230DDB28E}"/>
  </w:font>
  <w:font w:name="Calibri">
    <w:panose1 w:val="020F0502020204030204"/>
    <w:charset w:val="00"/>
    <w:family w:val="swiss"/>
    <w:pitch w:val="variable"/>
    <w:sig w:usb0="A00002EF" w:usb1="4000207B" w:usb2="00000000" w:usb3="00000000" w:csb0="0000009F" w:csb1="00000000"/>
    <w:embedRegular r:id="rId3" w:fontKey="{A0909277-A8F1-43C5-8A2F-848DEDE74724}"/>
  </w:font>
  <w:font w:name="Arial">
    <w:panose1 w:val="020B0604020202020204"/>
    <w:charset w:val="00"/>
    <w:family w:val="swiss"/>
    <w:pitch w:val="variable"/>
    <w:sig w:usb0="20002A87" w:usb1="80000000" w:usb2="00000008" w:usb3="00000000" w:csb0="000001FF" w:csb1="00000000"/>
    <w:embedRegular r:id="rId4" w:fontKey="{F55FA60E-F584-4AEC-902E-7A33CAEC3F0B}"/>
  </w:font>
  <w:font w:name="Cambria">
    <w:panose1 w:val="02040503050406030204"/>
    <w:charset w:val="00"/>
    <w:family w:val="roman"/>
    <w:pitch w:val="variable"/>
    <w:sig w:usb0="A00002EF" w:usb1="4000004B" w:usb2="00000000" w:usb3="00000000" w:csb0="0000009F" w:csb1="00000000"/>
    <w:embedRegular r:id="rId5" w:fontKey="{A9F793C7-C097-4236-905E-AC6A7BBFF6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9B2" w:rsidRDefault="00C51B9D">
    <w:pPr>
      <w:pStyle w:val="Footer"/>
      <w:tabs>
        <w:tab w:val="clear" w:pos="4680"/>
        <w:tab w:val="clear" w:pos="9360"/>
        <w:tab w:val="center" w:pos="2995"/>
      </w:tabs>
      <w:spacing w:before="120"/>
    </w:pPr>
    <w:r>
      <w:t>[591-</w:t>
    </w:r>
    <w:fldSimple w:instr=" PAGE  \* MERGEFORMAT ">
      <w:r w:rsidR="009669A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B9D" w:rsidRDefault="00C51B9D">
    <w:pPr>
      <w:pStyle w:val="Footer"/>
      <w:tabs>
        <w:tab w:val="clear" w:pos="4680"/>
        <w:tab w:val="clear" w:pos="9360"/>
        <w:tab w:val="center" w:pos="2995"/>
      </w:tabs>
      <w:spacing w:before="120"/>
    </w:pPr>
    <w:r>
      <w:t>[591]</w:t>
    </w:r>
    <w:r>
      <w:tab/>
    </w:r>
    <w:fldSimple w:instr=" PAGE  \* MERGEFORMAT ">
      <w:r w:rsidR="009669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9B2" w:rsidRDefault="00C51B9D">
      <w:r>
        <w:separator/>
      </w:r>
    </w:p>
  </w:footnote>
  <w:footnote w:type="continuationSeparator" w:id="0">
    <w:p w:rsidR="008F29B2" w:rsidRDefault="00C51B9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11CLAI.TCM.JL"/>
    <w:docVar w:name="CoverAttorneyInitials" w:val="TCM"/>
    <w:docVar w:name="CoverAttorneyLastName" w:val="Miles"/>
    <w:docVar w:name="CoverBillType" w:val="b"/>
    <w:docVar w:name="CoverSenator" w:val="JL"/>
    <w:docVar w:name="dvBillNumber" w:val="591"/>
    <w:docVar w:name="dvBillNumberPrefix" w:val="S. "/>
    <w:docVar w:name="dvOriginalBody" w:val="Senate"/>
    <w:docVar w:name="fulldraftpath" w:val="L:\S-RESMIN\DRAFTING\JL\011CLAI.TCM.JL.DOCX"/>
    <w:docVar w:name="NameofBody" w:val="S"/>
    <w:docVar w:name="vgroup2" w:val="S-RESMIN"/>
  </w:docVars>
  <w:rsids>
    <w:rsidRoot w:val="008F29B2"/>
    <w:rsid w:val="000112DA"/>
    <w:rsid w:val="00227EC7"/>
    <w:rsid w:val="00514FA0"/>
    <w:rsid w:val="0057298E"/>
    <w:rsid w:val="005C581E"/>
    <w:rsid w:val="006371FE"/>
    <w:rsid w:val="00810321"/>
    <w:rsid w:val="00873AE2"/>
    <w:rsid w:val="008F29B2"/>
    <w:rsid w:val="009669A5"/>
    <w:rsid w:val="00C51B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9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F29B2"/>
    <w:pPr>
      <w:tabs>
        <w:tab w:val="center" w:pos="4680"/>
        <w:tab w:val="right" w:pos="9360"/>
      </w:tabs>
    </w:pPr>
  </w:style>
  <w:style w:type="character" w:customStyle="1" w:styleId="FooterChar">
    <w:name w:val="Footer Char"/>
    <w:basedOn w:val="DefaultParagraphFont"/>
    <w:link w:val="Footer"/>
    <w:uiPriority w:val="99"/>
    <w:semiHidden/>
    <w:rsid w:val="008F29B2"/>
  </w:style>
  <w:style w:type="character" w:styleId="PageNumber">
    <w:name w:val="page number"/>
    <w:basedOn w:val="DefaultParagraphFont"/>
    <w:uiPriority w:val="99"/>
    <w:semiHidden/>
    <w:unhideWhenUsed/>
    <w:rsid w:val="008F29B2"/>
  </w:style>
  <w:style w:type="character" w:styleId="LineNumber">
    <w:name w:val="line number"/>
    <w:basedOn w:val="DefaultParagraphFont"/>
    <w:uiPriority w:val="99"/>
    <w:semiHidden/>
    <w:unhideWhenUsed/>
    <w:rsid w:val="008F29B2"/>
  </w:style>
  <w:style w:type="paragraph" w:styleId="Header">
    <w:name w:val="header"/>
    <w:basedOn w:val="Normal"/>
    <w:link w:val="HeaderChar"/>
    <w:unhideWhenUsed/>
    <w:rsid w:val="008F29B2"/>
    <w:pPr>
      <w:tabs>
        <w:tab w:val="center" w:pos="4680"/>
        <w:tab w:val="right" w:pos="9360"/>
      </w:tabs>
    </w:pPr>
  </w:style>
  <w:style w:type="character" w:customStyle="1" w:styleId="HeaderChar">
    <w:name w:val="Header Char"/>
    <w:basedOn w:val="DefaultParagraphFont"/>
    <w:link w:val="Header"/>
    <w:rsid w:val="008F29B2"/>
  </w:style>
  <w:style w:type="paragraph" w:customStyle="1" w:styleId="BillDots">
    <w:name w:val="BillDots"/>
    <w:basedOn w:val="Normal"/>
    <w:qFormat/>
    <w:rsid w:val="008F29B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8F29B2"/>
    <w:pPr>
      <w:tabs>
        <w:tab w:val="right" w:pos="5904"/>
      </w:tabs>
    </w:pPr>
  </w:style>
  <w:style w:type="character" w:styleId="FollowedHyperlink">
    <w:name w:val="FollowedHyperlink"/>
    <w:basedOn w:val="DefaultParagraphFont"/>
    <w:uiPriority w:val="99"/>
    <w:semiHidden/>
    <w:unhideWhenUsed/>
    <w:rsid w:val="005C581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917</Words>
  <Characters>5232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DavidBrunson</cp:lastModifiedBy>
  <cp:revision>2</cp:revision>
  <cp:lastPrinted>2009-03-16T17:42:00Z</cp:lastPrinted>
  <dcterms:created xsi:type="dcterms:W3CDTF">2010-03-04T18:15:00Z</dcterms:created>
  <dcterms:modified xsi:type="dcterms:W3CDTF">2010-03-04T18:15:00Z</dcterms:modified>
</cp:coreProperties>
</file>