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4C5F"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D4C5F" w:rsidRPr="00CD4C5F"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D4C5F"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C5F"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COMMITTEE </w:t>
      </w:r>
      <w:r w:rsidR="00EA4835">
        <w:t>AMENDMENT ADOPTED</w:t>
      </w:r>
    </w:p>
    <w:p w:rsidR="00CD4C5F"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May </w:t>
      </w:r>
      <w:r w:rsidR="00EA4835">
        <w:t>12</w:t>
      </w:r>
      <w:r>
        <w:t>, 2009</w:t>
      </w:r>
    </w:p>
    <w:p w:rsidR="00CD4C5F"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C5F" w:rsidRPr="00CD4C5F" w:rsidRDefault="00CD4C5F" w:rsidP="00CD4C5F">
      <w:pPr>
        <w:tabs>
          <w:tab w:val="right" w:pos="5933"/>
        </w:tabs>
        <w:suppressAutoHyphens/>
      </w:pPr>
      <w:r>
        <w:tab/>
      </w:r>
      <w:r>
        <w:rPr>
          <w:b/>
          <w:sz w:val="36"/>
        </w:rPr>
        <w:t>S. 791</w:t>
      </w:r>
    </w:p>
    <w:p w:rsidR="00CD4C5F"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C5F" w:rsidRDefault="00CD4C5F" w:rsidP="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 L. Martin</w:t>
      </w:r>
    </w:p>
    <w:p w:rsidR="00CD4C5F"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C5F"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w:t>
      </w:r>
      <w:r w:rsidR="00EA4835">
        <w:t>12</w:t>
      </w:r>
      <w:r>
        <w:t>/09--S.</w:t>
      </w:r>
    </w:p>
    <w:p w:rsidR="00CD4C5F"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6, 2009.</w:t>
      </w:r>
    </w:p>
    <w:p w:rsidR="00CD4C5F" w:rsidRPr="00CD4C5F" w:rsidRDefault="00CD4C5F" w:rsidP="00EA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D4C5F"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D4C5F" w:rsidSect="00CD4C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2"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2"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REQUIRE THE SOUTH CAROLINA BUILDING CODES COUNCIL TO ADOPT CERTAIN SEISMIC AND WIND MAPS FOR THE STATE UNTIL THE YEAR 2012 WHEN THE INTERNATIONAL RESIDENTIAL CODE (IRC) IS ADOPTED IN THIS STATE; AND TO AMEND SECTION 6</w:t>
      </w:r>
      <w:r>
        <w:noBreakHyphen/>
        <w:t>9</w:t>
      </w:r>
      <w:r>
        <w:noBreakHyphen/>
        <w:t>40, AS AMENDED, CODE OF LAWS OF SOUTH CAROLINA, 1976, RELATING TO THE BUILDING CODE ADOPTION PROCEDURE, SO AS TO PROVIDE THAT THE COMMUNITY MAY OPT OUT OF THESE BUILDING CODE MODIFICATIONS IN CERTAIN CIRCUMSTANCES.</w:t>
      </w:r>
    </w:p>
    <w:p w:rsidR="00EA4835" w:rsidRDefault="00EA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2"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2"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t>(A)</w:t>
      </w:r>
      <w:r>
        <w:tab/>
      </w:r>
      <w:r>
        <w:rPr>
          <w:rFonts w:eastAsiaTheme="minorHAnsi"/>
          <w:color w:val="000000" w:themeColor="text1"/>
          <w:szCs w:val="22"/>
          <w:u w:color="000000" w:themeColor="text1"/>
        </w:rPr>
        <w:t>The South Carolina Building Codes Council is directed to modify the South Carolina Residential Building Code by July 1, 2009, to incorporate the results of the research funded in 2008 by the General Assembly by Clemson University and The Citadel to develop new risk</w:t>
      </w:r>
      <w:r>
        <w:rPr>
          <w:rFonts w:eastAsiaTheme="minorHAnsi"/>
          <w:color w:val="000000" w:themeColor="text1"/>
          <w:szCs w:val="22"/>
          <w:u w:color="000000" w:themeColor="text1"/>
        </w:rPr>
        <w:noBreakHyphen/>
        <w:t>based seismic and wind maps.  These maps, along with associated changes in provisions that will seek to match the expected next generation of the national model code provisions for wind and seismic design, must be used until the 2012 International Residential Code (IRC) building code is adopted in South Carolina.</w:t>
      </w:r>
    </w:p>
    <w:p w:rsidR="001B2732"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South Carolina Building Codes Council, in cooperation with the study team from Clemson University and The Citadel, shall develop a ZIP code</w:t>
      </w:r>
      <w:r>
        <w:rPr>
          <w:rFonts w:eastAsiaTheme="minorHAnsi"/>
          <w:color w:val="000000" w:themeColor="text1"/>
          <w:szCs w:val="22"/>
          <w:u w:color="000000" w:themeColor="text1"/>
        </w:rPr>
        <w:noBreakHyphen/>
        <w:t xml:space="preserve">based table for determining the seismic design category and design wind speed for Category II residential buildings and indicate if the IRC prescriptive requirements for conventional construction can be used to meet the requirements for wind and seismic design.  The location of the geographic centroid </w:t>
      </w:r>
      <w:r>
        <w:rPr>
          <w:rFonts w:eastAsiaTheme="minorHAnsi"/>
          <w:color w:val="000000" w:themeColor="text1"/>
          <w:szCs w:val="22"/>
          <w:u w:color="000000" w:themeColor="text1"/>
        </w:rPr>
        <w:lastRenderedPageBreak/>
        <w:t>for each ZIP code area must be used to determine the values appearing in this ZIP code</w:t>
      </w:r>
      <w:r>
        <w:rPr>
          <w:rFonts w:eastAsiaTheme="minorHAnsi"/>
          <w:color w:val="000000" w:themeColor="text1"/>
          <w:szCs w:val="22"/>
          <w:u w:color="000000" w:themeColor="text1"/>
        </w:rPr>
        <w:noBreakHyphen/>
        <w:t xml:space="preserve">based table. </w:t>
      </w: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A4835" w:rsidRDefault="00EA4835" w:rsidP="00EA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w:t>
      </w:r>
      <w:r>
        <w:rPr>
          <w:snapToGrid w:val="0"/>
        </w:rPr>
        <w:tab/>
        <w:t>2.</w:t>
      </w:r>
      <w:r>
        <w:rPr>
          <w:snapToGrid w:val="0"/>
        </w:rPr>
        <w:tab/>
        <w:t>Chapter 6, Title 9 of the 1976 Code is amended by adding:</w:t>
      </w:r>
    </w:p>
    <w:p w:rsidR="00EA4835" w:rsidRDefault="00EA4835" w:rsidP="00EA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A4835" w:rsidRPr="002A5289" w:rsidRDefault="00EA4835" w:rsidP="00EA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sidRPr="00827022">
        <w:rPr>
          <w:snapToGrid w:val="0"/>
        </w:rPr>
        <w:t>“</w:t>
      </w:r>
      <w:r>
        <w:rPr>
          <w:snapToGrid w:val="0"/>
          <w:u w:val="single"/>
        </w:rPr>
        <w:t>Section 6-9-135.</w:t>
      </w:r>
      <w:r w:rsidRPr="00827022">
        <w:rPr>
          <w:snapToGrid w:val="0"/>
        </w:rPr>
        <w:tab/>
      </w:r>
      <w:r w:rsidRPr="002A5289">
        <w:rPr>
          <w:snapToGrid w:val="0"/>
          <w:u w:val="single"/>
        </w:rPr>
        <w:t>Notwithstanding any other provision of law, a county or municipality may adopt by reference or otherwise the provisions in the latest edition of the International Residential Code (IRC), including the wind and seismic provisions, necessary to prevent the community’s rating for purposes of premium credits from being retrograded to a lower class through one of the following:</w:t>
      </w:r>
    </w:p>
    <w:p w:rsidR="00EA4835" w:rsidRPr="002A5289" w:rsidRDefault="00EA4835" w:rsidP="00EA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7022">
        <w:rPr>
          <w:snapToGrid w:val="0"/>
        </w:rPr>
        <w:tab/>
      </w:r>
      <w:r w:rsidRPr="002A5289">
        <w:rPr>
          <w:snapToGrid w:val="0"/>
          <w:u w:val="single"/>
        </w:rPr>
        <w:t>(1)</w:t>
      </w:r>
      <w:r w:rsidRPr="00827022">
        <w:rPr>
          <w:snapToGrid w:val="0"/>
        </w:rPr>
        <w:tab/>
      </w:r>
      <w:r w:rsidRPr="002A5289">
        <w:rPr>
          <w:snapToGrid w:val="0"/>
          <w:u w:val="single"/>
        </w:rPr>
        <w:t>the Community Rating System community classification developed by the National Flood Insurance Program; or</w:t>
      </w:r>
    </w:p>
    <w:p w:rsidR="00EA4835" w:rsidRPr="002A5289" w:rsidRDefault="00EA4835" w:rsidP="00EA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7022">
        <w:rPr>
          <w:snapToGrid w:val="0"/>
        </w:rPr>
        <w:tab/>
      </w:r>
      <w:r w:rsidRPr="002A5289">
        <w:rPr>
          <w:snapToGrid w:val="0"/>
          <w:u w:val="single"/>
        </w:rPr>
        <w:t>(2)</w:t>
      </w:r>
      <w:r w:rsidRPr="00827022">
        <w:rPr>
          <w:snapToGrid w:val="0"/>
        </w:rPr>
        <w:tab/>
      </w:r>
      <w:r w:rsidRPr="002A5289">
        <w:rPr>
          <w:snapToGrid w:val="0"/>
          <w:u w:val="single"/>
        </w:rPr>
        <w:t xml:space="preserve">the Building Code Effectiveness Grading Schedule classification developed by the Insurance Services Office.  </w:t>
      </w:r>
    </w:p>
    <w:p w:rsidR="001B2732" w:rsidRDefault="00EA4835" w:rsidP="00EA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A5289">
        <w:rPr>
          <w:snapToGrid w:val="0"/>
          <w:u w:val="single"/>
        </w:rPr>
        <w:t>This exclusion also includes class improvements or new enrollments for th</w:t>
      </w:r>
      <w:r>
        <w:rPr>
          <w:snapToGrid w:val="0"/>
          <w:u w:val="single"/>
        </w:rPr>
        <w:t>e Community Rating System.</w:t>
      </w:r>
      <w:r w:rsidR="00B368AD" w:rsidRPr="00B368AD">
        <w:rPr>
          <w:snapToGrid w:val="0"/>
        </w:rPr>
        <w:t>”</w:t>
      </w:r>
    </w:p>
    <w:p w:rsidR="00EA4835" w:rsidRDefault="00EA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2"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B2732" w:rsidRDefault="00CD4C5F" w:rsidP="005E4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1B2732" w:rsidSect="00CD4C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2732" w:rsidRDefault="00CD4C5F">
      <w:r>
        <w:separator/>
      </w:r>
    </w:p>
  </w:endnote>
  <w:endnote w:type="continuationSeparator" w:id="1">
    <w:p w:rsidR="001B2732" w:rsidRDefault="00CD4C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F5381C-5654-4029-97D7-EA7CCC2EC4E6}"/>
    <w:embedBold r:id="rId2" w:fontKey="{8629CD53-628F-4D26-BFA4-0E44489E2EFB}"/>
  </w:font>
  <w:font w:name="Calibri">
    <w:panose1 w:val="020F0502020204030204"/>
    <w:charset w:val="00"/>
    <w:family w:val="swiss"/>
    <w:pitch w:val="variable"/>
    <w:sig w:usb0="A00002EF" w:usb1="4000207B" w:usb2="00000000" w:usb3="00000000" w:csb0="0000009F" w:csb1="00000000"/>
    <w:embedRegular r:id="rId3" w:fontKey="{5D5E388B-1F5B-488F-92B8-2B59A0D62780}"/>
  </w:font>
  <w:font w:name="Cambria">
    <w:panose1 w:val="02040503050406030204"/>
    <w:charset w:val="00"/>
    <w:family w:val="roman"/>
    <w:pitch w:val="variable"/>
    <w:sig w:usb0="A00002EF" w:usb1="4000004B" w:usb2="00000000" w:usb3="00000000" w:csb0="0000009F" w:csb1="00000000"/>
    <w:embedRegular r:id="rId4" w:fontKey="{24C6C2A5-2ACB-4ABD-9926-1F204AFBA6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732" w:rsidRDefault="00CD4C5F">
    <w:pPr>
      <w:pStyle w:val="Footer"/>
      <w:tabs>
        <w:tab w:val="clear" w:pos="4680"/>
        <w:tab w:val="clear" w:pos="9360"/>
        <w:tab w:val="center" w:pos="2995"/>
      </w:tabs>
      <w:spacing w:before="120"/>
    </w:pPr>
    <w:r>
      <w:t>[791-</w:t>
    </w:r>
    <w:fldSimple w:instr=" PAGE  \* MERGEFORMAT ">
      <w:r w:rsidR="005E45F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C5F" w:rsidRDefault="00CD4C5F">
    <w:pPr>
      <w:pStyle w:val="Footer"/>
      <w:tabs>
        <w:tab w:val="clear" w:pos="4680"/>
        <w:tab w:val="clear" w:pos="9360"/>
        <w:tab w:val="center" w:pos="2995"/>
      </w:tabs>
      <w:spacing w:before="120"/>
    </w:pPr>
    <w:r>
      <w:t>[791]</w:t>
    </w:r>
    <w:r>
      <w:tab/>
    </w:r>
    <w:fldSimple w:instr=" PAGE  \* MERGEFORMAT ">
      <w:r w:rsidR="005E45F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2732" w:rsidRDefault="00CD4C5F">
      <w:r>
        <w:separator/>
      </w:r>
    </w:p>
  </w:footnote>
  <w:footnote w:type="continuationSeparator" w:id="1">
    <w:p w:rsidR="001B2732" w:rsidRDefault="00CD4C5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735DW09"/>
    <w:docVar w:name="CoverBillType" w:val="b"/>
    <w:docVar w:name="docpath" w:val="L:\Council\bills\DKA\3735DW09.DOCX"/>
    <w:docVar w:name="dvBillNumber" w:val="791"/>
    <w:docVar w:name="dvBillNumberPrefix" w:val="S. "/>
    <w:docVar w:name="dvOriginalBody" w:val="Senate"/>
    <w:docVar w:name="dvSteno" w:val="DKA"/>
    <w:docVar w:name="NameofBody" w:val="s"/>
    <w:docVar w:name="vgroup2" w:val="Council"/>
  </w:docVars>
  <w:rsids>
    <w:rsidRoot w:val="001B2732"/>
    <w:rsid w:val="001B2732"/>
    <w:rsid w:val="00507BA5"/>
    <w:rsid w:val="00597AD3"/>
    <w:rsid w:val="005E45F5"/>
    <w:rsid w:val="006F46AF"/>
    <w:rsid w:val="00920EB6"/>
    <w:rsid w:val="00B368AD"/>
    <w:rsid w:val="00CD4C5F"/>
    <w:rsid w:val="00EA48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73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B273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2732"/>
    <w:rPr>
      <w:rFonts w:eastAsia="Times New Roman" w:cs="Times New Roman"/>
      <w:b/>
      <w:sz w:val="30"/>
      <w:szCs w:val="20"/>
    </w:rPr>
  </w:style>
  <w:style w:type="paragraph" w:styleId="Header">
    <w:name w:val="header"/>
    <w:basedOn w:val="Normal"/>
    <w:link w:val="HeaderChar"/>
    <w:uiPriority w:val="99"/>
    <w:semiHidden/>
    <w:unhideWhenUsed/>
    <w:rsid w:val="001B2732"/>
    <w:pPr>
      <w:tabs>
        <w:tab w:val="center" w:pos="4320"/>
        <w:tab w:val="right" w:pos="8640"/>
      </w:tabs>
    </w:pPr>
  </w:style>
  <w:style w:type="character" w:customStyle="1" w:styleId="HeaderChar">
    <w:name w:val="Header Char"/>
    <w:basedOn w:val="DefaultParagraphFont"/>
    <w:link w:val="Header"/>
    <w:uiPriority w:val="99"/>
    <w:semiHidden/>
    <w:rsid w:val="001B2732"/>
    <w:rPr>
      <w:rFonts w:eastAsia="Times New Roman" w:cs="Times New Roman"/>
      <w:szCs w:val="20"/>
    </w:rPr>
  </w:style>
  <w:style w:type="paragraph" w:styleId="Footer">
    <w:name w:val="footer"/>
    <w:basedOn w:val="Normal"/>
    <w:link w:val="FooterChar"/>
    <w:uiPriority w:val="99"/>
    <w:unhideWhenUsed/>
    <w:rsid w:val="001B2732"/>
    <w:pPr>
      <w:tabs>
        <w:tab w:val="center" w:pos="4680"/>
        <w:tab w:val="right" w:pos="9360"/>
      </w:tabs>
    </w:pPr>
  </w:style>
  <w:style w:type="character" w:customStyle="1" w:styleId="FooterChar">
    <w:name w:val="Footer Char"/>
    <w:basedOn w:val="DefaultParagraphFont"/>
    <w:link w:val="Footer"/>
    <w:uiPriority w:val="99"/>
    <w:rsid w:val="001B2732"/>
    <w:rPr>
      <w:rFonts w:eastAsia="Times New Roman" w:cs="Times New Roman"/>
      <w:szCs w:val="20"/>
    </w:rPr>
  </w:style>
  <w:style w:type="character" w:styleId="PageNumber">
    <w:name w:val="page number"/>
    <w:basedOn w:val="DefaultParagraphFont"/>
    <w:uiPriority w:val="99"/>
    <w:semiHidden/>
    <w:unhideWhenUsed/>
    <w:rsid w:val="001B2732"/>
  </w:style>
  <w:style w:type="character" w:styleId="LineNumber">
    <w:name w:val="line number"/>
    <w:basedOn w:val="DefaultParagraphFont"/>
    <w:uiPriority w:val="99"/>
    <w:semiHidden/>
    <w:unhideWhenUsed/>
    <w:rsid w:val="001B2732"/>
  </w:style>
  <w:style w:type="paragraph" w:customStyle="1" w:styleId="BillDots">
    <w:name w:val="BillDots"/>
    <w:basedOn w:val="Normal"/>
    <w:autoRedefine/>
    <w:qFormat/>
    <w:rsid w:val="001B2732"/>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1B2732"/>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413</Words>
  <Characters>2358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DB</cp:lastModifiedBy>
  <cp:revision>2</cp:revision>
  <cp:lastPrinted>2009-05-05T20:17:00Z</cp:lastPrinted>
  <dcterms:created xsi:type="dcterms:W3CDTF">2009-05-12T22:16:00Z</dcterms:created>
  <dcterms:modified xsi:type="dcterms:W3CDTF">2009-05-12T22:16:00Z</dcterms:modified>
</cp:coreProperties>
</file>