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08F" w:rsidRDefault="00C97B1E">
      <w:pPr>
        <w:widowControl w:val="0"/>
        <w:jc w:val="center"/>
        <w:rPr>
          <w:rFonts w:cs="Times New Roman"/>
        </w:rPr>
      </w:pPr>
      <w:r>
        <w:rPr>
          <w:rFonts w:cs="Times New Roman"/>
          <w:b/>
        </w:rPr>
        <w:t>South Carolina General Assembly</w:t>
      </w:r>
    </w:p>
    <w:p w:rsidR="00C7608F" w:rsidRDefault="00C97B1E">
      <w:pPr>
        <w:widowControl w:val="0"/>
        <w:jc w:val="center"/>
        <w:rPr>
          <w:rFonts w:cs="Times New Roman"/>
        </w:rPr>
      </w:pPr>
      <w:r>
        <w:rPr>
          <w:rFonts w:cs="Times New Roman"/>
        </w:rPr>
        <w:t>118th Session, 2009-2010</w:t>
      </w:r>
    </w:p>
    <w:p w:rsidR="00C7608F" w:rsidRDefault="00C7608F">
      <w:pPr>
        <w:widowControl w:val="0"/>
        <w:jc w:val="left"/>
        <w:rPr>
          <w:rFonts w:cs="Times New Roman"/>
        </w:rPr>
      </w:pPr>
    </w:p>
    <w:p w:rsidR="00C7608F" w:rsidRDefault="00C97B1E">
      <w:pPr>
        <w:widowControl w:val="0"/>
        <w:jc w:val="left"/>
        <w:rPr>
          <w:rFonts w:cs="Times New Roman"/>
          <w:b/>
        </w:rPr>
      </w:pPr>
      <w:r>
        <w:rPr>
          <w:rFonts w:cs="Times New Roman"/>
          <w:b/>
        </w:rPr>
        <w:t>S. 9</w:t>
      </w:r>
    </w:p>
    <w:p w:rsidR="00C7608F" w:rsidRDefault="00C7608F">
      <w:pPr>
        <w:widowControl w:val="0"/>
        <w:jc w:val="left"/>
        <w:rPr>
          <w:rFonts w:cs="Times New Roman"/>
          <w:b/>
        </w:rPr>
      </w:pPr>
    </w:p>
    <w:p w:rsidR="00C7608F" w:rsidRDefault="00C97B1E">
      <w:pPr>
        <w:widowControl w:val="0"/>
        <w:jc w:val="left"/>
        <w:rPr>
          <w:rFonts w:cs="Times New Roman"/>
        </w:rPr>
      </w:pPr>
      <w:r>
        <w:rPr>
          <w:rFonts w:cs="Times New Roman"/>
          <w:b/>
        </w:rPr>
        <w:t>STATUS INFORMATION</w:t>
      </w:r>
    </w:p>
    <w:p w:rsidR="00C7608F" w:rsidRDefault="00C7608F">
      <w:pPr>
        <w:widowControl w:val="0"/>
        <w:jc w:val="left"/>
        <w:rPr>
          <w:rFonts w:cs="Times New Roman"/>
        </w:rPr>
      </w:pPr>
    </w:p>
    <w:p w:rsidR="00C7608F" w:rsidRDefault="00C97B1E">
      <w:pPr>
        <w:widowControl w:val="0"/>
        <w:jc w:val="left"/>
        <w:rPr>
          <w:rFonts w:cs="Times New Roman"/>
        </w:rPr>
      </w:pPr>
      <w:r>
        <w:rPr>
          <w:rFonts w:cs="Times New Roman"/>
        </w:rPr>
        <w:t>General Bill</w:t>
      </w:r>
    </w:p>
    <w:p w:rsidR="00C7608F" w:rsidRDefault="00C97B1E">
      <w:pPr>
        <w:widowControl w:val="0"/>
        <w:jc w:val="left"/>
        <w:rPr>
          <w:rFonts w:cs="Times New Roman"/>
        </w:rPr>
      </w:pPr>
      <w:r>
        <w:rPr>
          <w:rFonts w:cs="Times New Roman"/>
        </w:rPr>
        <w:t>Sponsors: Senators McConnell, Leventis, Rose, Elliott, Massey, Peeler, Bright and Setzler</w:t>
      </w:r>
    </w:p>
    <w:p w:rsidR="00C7608F" w:rsidRDefault="00C97B1E">
      <w:pPr>
        <w:widowControl w:val="0"/>
        <w:jc w:val="left"/>
        <w:rPr>
          <w:rFonts w:cs="Times New Roman"/>
        </w:rPr>
      </w:pPr>
      <w:r>
        <w:rPr>
          <w:rFonts w:cs="Times New Roman"/>
        </w:rPr>
        <w:t>Document Path: l:\s-jud\bills\mcconnell\jud0021.nc.docx</w:t>
      </w:r>
    </w:p>
    <w:p w:rsidR="00C7608F" w:rsidRDefault="00C7608F">
      <w:pPr>
        <w:widowControl w:val="0"/>
        <w:jc w:val="left"/>
        <w:rPr>
          <w:rFonts w:cs="Times New Roman"/>
        </w:rPr>
      </w:pPr>
    </w:p>
    <w:p w:rsidR="00C7608F" w:rsidRDefault="00C97B1E">
      <w:pPr>
        <w:widowControl w:val="0"/>
        <w:jc w:val="left"/>
        <w:rPr>
          <w:rFonts w:cs="Times New Roman"/>
        </w:rPr>
      </w:pPr>
      <w:r>
        <w:rPr>
          <w:rFonts w:cs="Times New Roman"/>
        </w:rPr>
        <w:t xml:space="preserve">Introduced </w:t>
      </w:r>
      <w:r>
        <w:rPr>
          <w:rFonts w:cs="Times New Roman"/>
        </w:rPr>
        <w:t>in the Senate on January 13, 2009</w:t>
      </w:r>
    </w:p>
    <w:p w:rsidR="00C7608F" w:rsidRDefault="00C97B1E">
      <w:pPr>
        <w:widowControl w:val="0"/>
        <w:jc w:val="left"/>
        <w:rPr>
          <w:rFonts w:cs="Times New Roman"/>
        </w:rPr>
      </w:pPr>
      <w:r>
        <w:rPr>
          <w:rFonts w:cs="Times New Roman"/>
        </w:rPr>
        <w:t>Currently residing in the Senate</w:t>
      </w:r>
    </w:p>
    <w:p w:rsidR="00C7608F" w:rsidRDefault="00C7608F">
      <w:pPr>
        <w:widowControl w:val="0"/>
        <w:jc w:val="left"/>
        <w:rPr>
          <w:rFonts w:cs="Times New Roman"/>
        </w:rPr>
      </w:pPr>
    </w:p>
    <w:p w:rsidR="00C7608F" w:rsidRDefault="00C97B1E">
      <w:pPr>
        <w:widowControl w:val="0"/>
        <w:jc w:val="left"/>
        <w:rPr>
          <w:rFonts w:cs="Times New Roman"/>
        </w:rPr>
      </w:pPr>
      <w:r>
        <w:rPr>
          <w:rFonts w:cs="Times New Roman"/>
        </w:rPr>
        <w:t>Summary: Energy efficiency</w:t>
      </w:r>
    </w:p>
    <w:p w:rsidR="00C7608F" w:rsidRDefault="00C7608F">
      <w:pPr>
        <w:widowControl w:val="0"/>
        <w:jc w:val="left"/>
        <w:rPr>
          <w:rFonts w:cs="Times New Roman"/>
        </w:rPr>
      </w:pPr>
    </w:p>
    <w:p w:rsidR="00C7608F" w:rsidRDefault="00C7608F">
      <w:pPr>
        <w:widowControl w:val="0"/>
        <w:jc w:val="left"/>
        <w:rPr>
          <w:rFonts w:cs="Times New Roman"/>
        </w:rPr>
      </w:pPr>
    </w:p>
    <w:p w:rsidR="00C7608F" w:rsidRDefault="00C97B1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7608F" w:rsidRDefault="00C7608F">
      <w:pPr>
        <w:widowControl w:val="0"/>
        <w:tabs>
          <w:tab w:val="center" w:pos="590"/>
          <w:tab w:val="center" w:pos="1440"/>
          <w:tab w:val="left" w:pos="1872"/>
          <w:tab w:val="left" w:pos="9187"/>
        </w:tabs>
        <w:jc w:val="left"/>
        <w:rPr>
          <w:rFonts w:cs="Times New Roman"/>
        </w:rPr>
      </w:pPr>
    </w:p>
    <w:p w:rsidR="00C7608F" w:rsidRDefault="00C97B1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7608F" w:rsidRDefault="00C97B1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7608F" w:rsidRDefault="00C97B1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Referred to Committee on</w:t>
      </w:r>
      <w:r>
        <w:rPr>
          <w:rFonts w:cs="Times New Roman"/>
        </w:rPr>
        <w:t xml:space="preserve"> </w:t>
      </w:r>
      <w:r>
        <w:rPr>
          <w:rFonts w:cs="Times New Roman"/>
          <w:b/>
        </w:rPr>
        <w:t>Agriculture and Natural Resources</w:t>
      </w:r>
    </w:p>
    <w:p w:rsidR="00C7608F" w:rsidRDefault="00C97B1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Introduced and read first time SJ</w:t>
      </w:r>
      <w:r>
        <w:rPr>
          <w:rFonts w:cs="Times New Roman"/>
        </w:rPr>
        <w:noBreakHyphen/>
        <w:t>75</w:t>
      </w:r>
    </w:p>
    <w:p w:rsidR="00C7608F" w:rsidRDefault="00C97B1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SJ</w:t>
      </w:r>
      <w:r>
        <w:rPr>
          <w:rFonts w:cs="Times New Roman"/>
        </w:rPr>
        <w:noBreakHyphen/>
        <w:t>75</w:t>
      </w:r>
    </w:p>
    <w:p w:rsidR="00C7608F" w:rsidRDefault="00C97B1E">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Committee report: Favorable with amendment </w:t>
      </w:r>
      <w:r>
        <w:rPr>
          <w:rFonts w:cs="Times New Roman"/>
          <w:b/>
        </w:rPr>
        <w:t xml:space="preserve">Agriculture and </w:t>
      </w:r>
      <w:r>
        <w:rPr>
          <w:rFonts w:cs="Times New Roman"/>
          <w:b/>
        </w:rPr>
        <w:t>Natural Resources</w:t>
      </w:r>
      <w:r>
        <w:rPr>
          <w:rFonts w:cs="Times New Roman"/>
        </w:rPr>
        <w:t xml:space="preserve"> SJ</w:t>
      </w:r>
      <w:r>
        <w:rPr>
          <w:rFonts w:cs="Times New Roman"/>
        </w:rPr>
        <w:noBreakHyphen/>
        <w:t>23</w:t>
      </w:r>
    </w:p>
    <w:p w:rsidR="00C7608F" w:rsidRDefault="00C7608F">
      <w:pPr>
        <w:widowControl w:val="0"/>
        <w:tabs>
          <w:tab w:val="right" w:pos="1008"/>
          <w:tab w:val="left" w:pos="1152"/>
          <w:tab w:val="left" w:pos="1872"/>
          <w:tab w:val="left" w:pos="9187"/>
        </w:tabs>
        <w:ind w:left="2088" w:hanging="2088"/>
        <w:jc w:val="left"/>
        <w:rPr>
          <w:rFonts w:cs="Times New Roman"/>
        </w:rPr>
      </w:pPr>
    </w:p>
    <w:p w:rsidR="00C7608F" w:rsidRDefault="00C97B1E">
      <w:pPr>
        <w:widowControl w:val="0"/>
        <w:tabs>
          <w:tab w:val="right" w:pos="1008"/>
          <w:tab w:val="left" w:pos="1152"/>
          <w:tab w:val="left" w:pos="1872"/>
          <w:tab w:val="left" w:pos="9187"/>
        </w:tabs>
        <w:ind w:left="2088" w:hanging="2088"/>
        <w:jc w:val="left"/>
        <w:rPr>
          <w:rFonts w:cs="Times New Roman"/>
        </w:rPr>
      </w:pPr>
      <w:r>
        <w:rPr>
          <w:rFonts w:cs="Times New Roman"/>
        </w:rPr>
        <w:t xml:space="preserve">View the latest </w:t>
      </w:r>
      <w:hyperlink r:id="rId6" w:history="1">
        <w:r>
          <w:rPr>
            <w:rStyle w:val="Hyperlink"/>
            <w:rFonts w:cs="Times New Roman"/>
          </w:rPr>
          <w:t>legislative information</w:t>
        </w:r>
      </w:hyperlink>
      <w:r>
        <w:rPr>
          <w:rFonts w:cs="Times New Roman"/>
        </w:rPr>
        <w:t xml:space="preserve"> at the LPITS web site</w:t>
      </w:r>
    </w:p>
    <w:p w:rsidR="00C7608F" w:rsidRDefault="00C7608F">
      <w:pPr>
        <w:widowControl w:val="0"/>
        <w:tabs>
          <w:tab w:val="right" w:pos="1008"/>
          <w:tab w:val="left" w:pos="1152"/>
          <w:tab w:val="left" w:pos="1872"/>
          <w:tab w:val="left" w:pos="9187"/>
        </w:tabs>
        <w:ind w:left="2088" w:hanging="2088"/>
        <w:jc w:val="left"/>
        <w:rPr>
          <w:rFonts w:cs="Times New Roman"/>
        </w:rPr>
      </w:pPr>
    </w:p>
    <w:p w:rsidR="00C7608F" w:rsidRDefault="00C7608F">
      <w:pPr>
        <w:widowControl w:val="0"/>
        <w:tabs>
          <w:tab w:val="right" w:pos="1008"/>
          <w:tab w:val="left" w:pos="1152"/>
          <w:tab w:val="left" w:pos="1872"/>
          <w:tab w:val="left" w:pos="9187"/>
        </w:tabs>
        <w:ind w:left="2088" w:hanging="2088"/>
        <w:jc w:val="left"/>
        <w:rPr>
          <w:rFonts w:cs="Times New Roman"/>
        </w:rPr>
      </w:pPr>
    </w:p>
    <w:p w:rsidR="00C7608F" w:rsidRDefault="00C97B1E">
      <w:pPr>
        <w:widowControl w:val="0"/>
        <w:jc w:val="left"/>
        <w:rPr>
          <w:rFonts w:cs="Times New Roman"/>
        </w:rPr>
      </w:pPr>
      <w:r>
        <w:rPr>
          <w:rFonts w:cs="Times New Roman"/>
          <w:b/>
        </w:rPr>
        <w:t>VERSIONS OF THIS BILL</w:t>
      </w:r>
    </w:p>
    <w:p w:rsidR="00C7608F" w:rsidRDefault="00C7608F">
      <w:pPr>
        <w:widowControl w:val="0"/>
        <w:jc w:val="left"/>
        <w:rPr>
          <w:rFonts w:cs="Times New Roman"/>
        </w:rPr>
      </w:pPr>
    </w:p>
    <w:p w:rsidR="00C7608F" w:rsidRDefault="00C7608F">
      <w:pPr>
        <w:widowControl w:val="0"/>
        <w:jc w:val="left"/>
        <w:rPr>
          <w:rFonts w:cs="Times New Roman"/>
        </w:rPr>
      </w:pPr>
      <w:hyperlink r:id="rId7" w:history="1">
        <w:r w:rsidR="00C97B1E">
          <w:rPr>
            <w:rStyle w:val="Hyperlink"/>
            <w:rFonts w:cs="Times New Roman"/>
          </w:rPr>
          <w:t>1</w:t>
        </w:r>
        <w:r w:rsidR="00C97B1E">
          <w:rPr>
            <w:rStyle w:val="Hyperlink"/>
            <w:rFonts w:cs="Times New Roman"/>
          </w:rPr>
          <w:t>2/10/2008</w:t>
        </w:r>
      </w:hyperlink>
    </w:p>
    <w:p w:rsidR="00C7608F" w:rsidRDefault="00C7608F">
      <w:hyperlink r:id="rId8" w:history="1">
        <w:r w:rsidR="00C97B1E">
          <w:rPr>
            <w:rStyle w:val="Hyperlink"/>
          </w:rPr>
          <w:t>2/25/2009</w:t>
        </w:r>
      </w:hyperlink>
    </w:p>
    <w:p w:rsidR="00C7608F" w:rsidRDefault="00C7608F"/>
    <w:p w:rsidR="00C7608F" w:rsidRDefault="00C7608F">
      <w:pPr>
        <w:sectPr w:rsidR="00C7608F">
          <w:pgSz w:w="12240" w:h="15840" w:code="1"/>
          <w:pgMar w:top="1080" w:right="1440" w:bottom="1080" w:left="1440" w:header="720" w:footer="720" w:gutter="0"/>
          <w:cols w:space="720"/>
          <w:noEndnote/>
          <w:docGrid w:linePitch="360"/>
        </w:sect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REPORT</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 2009</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Leventis, Rose, Elliott, Massey, Peeler, Bright and Setzler</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2/25/09--S.</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AGRICULTURE AND NATURAL RESOURCES</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9) </w:t>
      </w:r>
      <w:r>
        <w:rPr>
          <w:rFonts w:cs="Times New Roman"/>
          <w:color w:val="000000"/>
        </w:rPr>
        <w:t>to amend Chapter 52, Title 48, Code of Laws of South Carolina, 1976, relating to energy efficiency, by adding Article</w:t>
      </w:r>
      <w:r>
        <w:rPr>
          <w:rFonts w:cs="Times New Roman"/>
          <w:color w:val="000000"/>
        </w:rPr>
        <w:t xml:space="preserve"> 12, so as to establish energy efficiency</w:t>
      </w:r>
      <w:r>
        <w:rPr>
          <w:rFonts w:eastAsia="Times New Roman" w:cs="Times New Roman"/>
        </w:rPr>
        <w:t>, etc., respectfully</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the bill as and if amended, Page 2, by striking lines 11 - 31 and inser</w:t>
      </w:r>
      <w:r>
        <w:rPr>
          <w:rFonts w:eastAsia="Times New Roman" w:cs="Times New Roman"/>
          <w:snapToGrid w:val="0"/>
          <w:szCs w:val="20"/>
        </w:rPr>
        <w:t>ting:</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t>/</w:t>
      </w:r>
      <w:r>
        <w:rPr>
          <w:rFonts w:eastAsia="Times New Roman" w:cs="Times New Roman"/>
          <w:snapToGrid w:val="0"/>
          <w:szCs w:val="20"/>
        </w:rPr>
        <w:tab/>
      </w:r>
      <w:r>
        <w:rPr>
          <w:rFonts w:cs="Times New Roman"/>
        </w:rPr>
        <w:t>Section 48</w:t>
      </w:r>
      <w:r>
        <w:rPr>
          <w:rFonts w:cs="Times New Roman"/>
        </w:rPr>
        <w:noBreakHyphen/>
        <w:t>52</w:t>
      </w:r>
      <w:r>
        <w:rPr>
          <w:rFonts w:cs="Times New Roman"/>
        </w:rPr>
        <w:noBreakHyphen/>
        <w:t>940.</w:t>
      </w:r>
      <w:r>
        <w:rPr>
          <w:rFonts w:cs="Times New Roman"/>
        </w:rPr>
        <w:tab/>
        <w:t>Pursuant to the procedures provided in Section 48-52-670, each state agency must be evaluated and receive recommendations concerning the agency’s energy, water, or wastewater conservation measures in the manner provided in Secti</w:t>
      </w:r>
      <w:r>
        <w:rPr>
          <w:rFonts w:cs="Times New Roman"/>
        </w:rPr>
        <w:t>on 48-52-670.</w:t>
      </w:r>
      <w:r>
        <w:rPr>
          <w:rFonts w:cs="Times New Roman"/>
        </w:rPr>
        <w:tab/>
      </w:r>
      <w:r>
        <w:rPr>
          <w:rFonts w:cs="Times New Roman"/>
        </w:rPr>
        <w:tab/>
        <w:t>/</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Renumber sections to conform.</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title to conform.</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B. VERDIN III for Committee.</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7608F">
          <w:footerReference w:type="default" r:id="rId9"/>
          <w:pgSz w:w="12240" w:h="15840" w:code="1"/>
          <w:pgMar w:top="1008" w:right="4680" w:bottom="3499" w:left="1627" w:header="720" w:footer="3499" w:gutter="0"/>
          <w:lnNumType w:countBy="1" w:distance="173"/>
          <w:pgNumType w:start="1"/>
          <w:cols w:space="720"/>
          <w:noEndnote/>
          <w:docGrid w:linePitch="360"/>
        </w:sect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CHAPTER 52, TITLE 48, CODE OF LAWS OF SOUTH CAROLINA, 1976, RELATING TO ENERGY EFFICIENCY, BY ADDING ARTICLE 12, SO AS TO ESTABLISH ENERGY EFFICIENCY AND RENEWABLE ENERGY GOALS FOR STATE GOVERNMENT, TO DIRECT STATE AGENCIES TO PROCURE ENE</w:t>
      </w:r>
      <w:r>
        <w:rPr>
          <w:rFonts w:cs="Times New Roman"/>
          <w:color w:val="000000"/>
        </w:rPr>
        <w:t>RGY EFFICIENT PRODUCTS, AND TO DIRECT EVERY STATE AGENCY HEAD TO REQUIRE THE REPLACEMENT OF ALL INCANDESCENT LIGHT BULBS WITH COMPACT FLUORESCENT LIGHT BULBS IN EACH STATE AGENCY BY JULY 1, 2011.</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r>
        <w:rPr>
          <w:rFonts w:cs="Times New Roman"/>
          <w:color w:val="000000"/>
        </w:rPr>
        <w:tab/>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 xml:space="preserve">Be it enacted by the General Assembly of the State of </w:t>
      </w:r>
      <w:r>
        <w:rPr>
          <w:rFonts w:cs="Times New Roman"/>
          <w:color w:val="000000"/>
        </w:rPr>
        <w:t>South Carolina:</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52, Title 48 of the 1976 Code is amended by adding:</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“Article 12</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State Government Energy Efficiency</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and Renewable Energy Goals</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900.</w:t>
      </w:r>
      <w:r>
        <w:rPr>
          <w:rFonts w:cs="Times New Roman"/>
          <w:color w:val="000000"/>
        </w:rPr>
        <w:tab/>
        <w:t>(A)</w:t>
      </w:r>
      <w:r>
        <w:rPr>
          <w:rFonts w:cs="Times New Roman"/>
          <w:color w:val="000000"/>
        </w:rPr>
        <w:tab/>
        <w:t>Every state agency shall establish a goal to reduce</w:t>
      </w:r>
      <w:r>
        <w:rPr>
          <w:rFonts w:eastAsia="MS Mincho" w:cs="Times New Roman"/>
          <w:color w:val="000000"/>
        </w:rPr>
        <w:t xml:space="preserve"> </w:t>
      </w:r>
      <w:r>
        <w:rPr>
          <w:rFonts w:cs="Times New Roman"/>
          <w:color w:val="000000"/>
        </w:rPr>
        <w:t xml:space="preserve">energy </w:t>
      </w:r>
      <w:r>
        <w:rPr>
          <w:rFonts w:cs="Times New Roman"/>
          <w:color w:val="000000"/>
        </w:rPr>
        <w:t>consumption by at least one percent each year beginning July 1, 2009, with an ultimate goal of reducing energy consumption by twenty percent by the year 2020, relative to year 2000 levels.  In pursuit of these goals, each state agency shall implement all c</w:t>
      </w:r>
      <w:r>
        <w:rPr>
          <w:rFonts w:cs="Times New Roman"/>
          <w:color w:val="000000"/>
        </w:rPr>
        <w:t>ost</w:t>
      </w:r>
      <w:r>
        <w:rPr>
          <w:rFonts w:cs="Times New Roman"/>
          <w:color w:val="000000"/>
        </w:rPr>
        <w:noBreakHyphen/>
        <w:t xml:space="preserve">effective, energy efficiency measures.  The provisions of this section do not apply to a building designed, constructed, or rehabilitated, and maintained in compliance with </w:t>
      </w:r>
      <w:r>
        <w:rPr>
          <w:rFonts w:cs="Times New Roman"/>
          <w:color w:val="000000"/>
        </w:rPr>
        <w:lastRenderedPageBreak/>
        <w:t>the Energy Independence and Sustainable Construction Act of 2007.</w:t>
      </w:r>
      <w:r>
        <w:rPr>
          <w:rFonts w:cs="Times New Roman"/>
          <w:color w:val="000000"/>
        </w:rPr>
        <w:tab/>
      </w:r>
      <w:r>
        <w:rPr>
          <w:rFonts w:cs="Times New Roman"/>
          <w:color w:val="000000"/>
        </w:rPr>
        <w:tab/>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 xml:space="preserve">Every </w:t>
      </w:r>
      <w:r>
        <w:rPr>
          <w:rFonts w:cs="Times New Roman"/>
          <w:color w:val="000000"/>
        </w:rPr>
        <w:t>state agency annually shall report the agency’s efforts and progress under this section to the State Energy Office, on forms provided by that office.  The State Energy Office must provide assistance and information to the agency to help it meet the goals s</w:t>
      </w:r>
      <w:r>
        <w:rPr>
          <w:rFonts w:cs="Times New Roman"/>
          <w:color w:val="000000"/>
        </w:rPr>
        <w:t>et under this section.</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color w:val="000000"/>
        </w:rPr>
      </w:pPr>
      <w:r>
        <w:rPr>
          <w:rFonts w:cs="Times New Roman"/>
          <w:color w:val="000000"/>
        </w:rPr>
        <w:tab/>
        <w:t>(C)</w:t>
      </w:r>
      <w:r>
        <w:rPr>
          <w:rFonts w:cs="Times New Roman"/>
          <w:color w:val="000000"/>
        </w:rPr>
        <w:tab/>
        <w:t>A state agency that does not attain the goals must include in the report justification that the agency has implemented all available</w:t>
      </w:r>
      <w:r>
        <w:rPr>
          <w:rFonts w:eastAsia="MS Mincho" w:cs="Times New Roman"/>
          <w:color w:val="000000"/>
        </w:rPr>
        <w:t xml:space="preserve"> cost</w:t>
      </w:r>
      <w:r>
        <w:rPr>
          <w:rFonts w:eastAsia="MS Mincho" w:cs="Times New Roman"/>
          <w:color w:val="000000"/>
        </w:rPr>
        <w:noBreakHyphen/>
        <w:t xml:space="preserve">effective, energy efficiency measures.  An agency that submits a report indicating it has </w:t>
      </w:r>
      <w:r>
        <w:rPr>
          <w:rFonts w:eastAsia="MS Mincho" w:cs="Times New Roman"/>
          <w:color w:val="000000"/>
        </w:rPr>
        <w:t>already implemented all available cost</w:t>
      </w:r>
      <w:r>
        <w:rPr>
          <w:rFonts w:eastAsia="MS Mincho" w:cs="Times New Roman"/>
          <w:color w:val="000000"/>
        </w:rPr>
        <w:noBreakHyphen/>
        <w:t>effective measures is exempt from the annual reporting requirement of subsection (B) if a subsequent report would indicate no change in status.  A state agency must provide notice to the State Energy Office that it is</w:t>
      </w:r>
      <w:r>
        <w:rPr>
          <w:rFonts w:eastAsia="MS Mincho" w:cs="Times New Roman"/>
          <w:color w:val="000000"/>
        </w:rPr>
        <w:t xml:space="preserve"> exempt.</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MS Mincho" w:cs="Times New Roman"/>
          <w:color w:val="000000"/>
        </w:rPr>
        <w:tab/>
      </w:r>
      <w:r>
        <w:rPr>
          <w:rFonts w:cs="Times New Roman"/>
          <w:color w:val="000000"/>
        </w:rPr>
        <w:t>(D)</w:t>
      </w:r>
      <w:r>
        <w:rPr>
          <w:rFonts w:cs="Times New Roman"/>
          <w:color w:val="000000"/>
        </w:rPr>
        <w:tab/>
        <w:t>The State Energy Office must report annually to the General Assembly on each agency’s progress toward the goals specified in this section.</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Pr>
          <w:rFonts w:cs="Times New Roman"/>
          <w:color w:val="000000"/>
        </w:rPr>
        <w:tab/>
        <w:t>(E)</w:t>
      </w:r>
      <w:r>
        <w:rPr>
          <w:rFonts w:cs="Times New Roman"/>
          <w:color w:val="000000"/>
        </w:rPr>
        <w:tab/>
        <w:t>Energy consumption includes, but is not limited to, energy produced from electricity, natural gas,</w:t>
      </w:r>
      <w:r>
        <w:rPr>
          <w:rFonts w:cs="Times New Roman"/>
          <w:color w:val="000000"/>
        </w:rPr>
        <w:t xml:space="preserve"> fuel oil, and propane. Energy consumption shall be measured using BTU’s per gross square foot.</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(F)</w:t>
      </w:r>
      <w:r>
        <w:rPr>
          <w:rFonts w:cs="Times New Roman"/>
          <w:color w:val="000000"/>
        </w:rPr>
        <w:tab/>
        <w:t>For the purposes of this chapter, ‘state agency’ means any state government agency subject to the State Procurement Code.  For state institutions of higher</w:t>
      </w:r>
      <w:r>
        <w:rPr>
          <w:rFonts w:cs="Times New Roman"/>
          <w:color w:val="000000"/>
        </w:rPr>
        <w:t xml:space="preserve"> learning, this definition shall apply only to those facilities greater than ten thousand gross square feet and shall not include those facilities whose function is defined as athletics, housing, or research.</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910.</w:t>
      </w:r>
      <w:r>
        <w:rPr>
          <w:rFonts w:cs="Times New Roman"/>
          <w:color w:val="000000"/>
        </w:rPr>
        <w:tab/>
        <w:t>(A)</w:t>
      </w:r>
      <w:r>
        <w:rPr>
          <w:rFonts w:cs="Times New Roman"/>
          <w:color w:val="000000"/>
        </w:rPr>
        <w:tab/>
        <w:t>For the procurement of</w:t>
      </w:r>
      <w:r>
        <w:rPr>
          <w:rFonts w:cs="Times New Roman"/>
          <w:color w:val="000000"/>
        </w:rPr>
        <w:t xml:space="preserve"> energy for use within state</w:t>
      </w:r>
      <w:r>
        <w:rPr>
          <w:rFonts w:cs="Times New Roman"/>
          <w:color w:val="000000"/>
        </w:rPr>
        <w:noBreakHyphen/>
        <w:t xml:space="preserve">owned buildings, each state agency must adopt the following goals for energy consumption sourced from renewable energy resources: </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(1)</w:t>
      </w:r>
      <w:r>
        <w:rPr>
          <w:rFonts w:cs="Times New Roman"/>
          <w:color w:val="000000"/>
        </w:rPr>
        <w:tab/>
        <w:t>one percent by 2010;</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(2)</w:t>
      </w:r>
      <w:r>
        <w:rPr>
          <w:rFonts w:cs="Times New Roman"/>
          <w:color w:val="000000"/>
        </w:rPr>
        <w:tab/>
        <w:t>two and a half percent by 2015;</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(3)</w:t>
      </w:r>
      <w:r>
        <w:rPr>
          <w:rFonts w:cs="Times New Roman"/>
          <w:color w:val="000000"/>
        </w:rPr>
        <w:tab/>
        <w:t>five percent by 2020;</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w:t>
      </w:r>
      <w:r>
        <w:rPr>
          <w:rFonts w:cs="Times New Roman"/>
          <w:color w:val="000000"/>
        </w:rPr>
        <w:t>4)</w:t>
      </w:r>
      <w:r>
        <w:rPr>
          <w:rFonts w:cs="Times New Roman"/>
          <w:color w:val="000000"/>
        </w:rPr>
        <w:tab/>
        <w:t>ten percent by 2025.</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procurement goals specified in subsection (A) must be met by participation in green power purchasing programs offered by the agency’s incumbent electric utility or by the production of on</w:t>
      </w:r>
      <w:r>
        <w:rPr>
          <w:rFonts w:cs="Times New Roman"/>
          <w:color w:val="000000"/>
        </w:rPr>
        <w:noBreakHyphen/>
        <w:t>site, state</w:t>
      </w:r>
      <w:r>
        <w:rPr>
          <w:rFonts w:cs="Times New Roman"/>
          <w:color w:val="000000"/>
        </w:rPr>
        <w:noBreakHyphen/>
        <w:t xml:space="preserve">owned renewable energy </w:t>
      </w:r>
      <w:r>
        <w:rPr>
          <w:rFonts w:cs="Times New Roman"/>
          <w:color w:val="000000"/>
        </w:rPr>
        <w:t xml:space="preserve">generation. </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(C)</w:t>
      </w:r>
      <w:r>
        <w:rPr>
          <w:rFonts w:cs="Times New Roman"/>
          <w:color w:val="000000"/>
        </w:rPr>
        <w:tab/>
        <w:t>An agency occupying a state</w:t>
      </w:r>
      <w:r>
        <w:rPr>
          <w:rFonts w:cs="Times New Roman"/>
          <w:color w:val="000000"/>
        </w:rPr>
        <w:noBreakHyphen/>
        <w:t xml:space="preserve">owned building shall annually report to the State Energy Office on forms provided by that office </w:t>
      </w:r>
      <w:r>
        <w:rPr>
          <w:rFonts w:cs="Times New Roman"/>
          <w:color w:val="000000"/>
        </w:rPr>
        <w:lastRenderedPageBreak/>
        <w:t>the agency’s efforts and progress under this section.  The State Energy Office shall provide assistance and infor</w:t>
      </w:r>
      <w:r>
        <w:rPr>
          <w:rFonts w:cs="Times New Roman"/>
          <w:color w:val="000000"/>
        </w:rPr>
        <w:t>mation to the agency to help the agency meet the goals set under this section for each state</w:t>
      </w:r>
      <w:r>
        <w:rPr>
          <w:rFonts w:cs="Times New Roman"/>
          <w:color w:val="000000"/>
        </w:rPr>
        <w:noBreakHyphen/>
        <w:t>owned building and will report annually on each state agency’s progress toward reaching the goals specified in subsection (A).</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(D)</w:t>
      </w:r>
      <w:r>
        <w:rPr>
          <w:rFonts w:cs="Times New Roman"/>
          <w:color w:val="000000"/>
        </w:rPr>
        <w:tab/>
        <w:t>For the purposes of this chapte</w:t>
      </w:r>
      <w:r>
        <w:rPr>
          <w:rFonts w:cs="Times New Roman"/>
          <w:color w:val="000000"/>
        </w:rPr>
        <w:t>r, ‘renewable energy’ means energy as defined in the federal Energy Policy Act of 2005, 42 U.S.C. Section 15852(b)(2).</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7608F" w:rsidRDefault="00C97B1E">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920.</w:t>
      </w:r>
      <w:r>
        <w:rPr>
          <w:rFonts w:cs="Times New Roman"/>
          <w:color w:val="000000"/>
        </w:rPr>
        <w:tab/>
        <w:t>State agencies must purchase equipment and appliances for state use that meet or exceed the Energy Star standards de</w:t>
      </w:r>
      <w:r>
        <w:rPr>
          <w:rFonts w:cs="Times New Roman"/>
          <w:color w:val="000000"/>
        </w:rPr>
        <w:t>signated by the United States Environmental Protection Agency and the United States Department of Energy.  The State Energy Office may grant waivers to this requirement if it determines that equipment and Energy Star appliances are not available and cost e</w:t>
      </w:r>
      <w:r>
        <w:rPr>
          <w:rFonts w:cs="Times New Roman"/>
          <w:color w:val="000000"/>
        </w:rPr>
        <w:t>ffective.</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48</w:t>
      </w:r>
      <w:r>
        <w:rPr>
          <w:rFonts w:cs="Times New Roman"/>
        </w:rPr>
        <w:noBreakHyphen/>
        <w:t>52</w:t>
      </w:r>
      <w:r>
        <w:rPr>
          <w:rFonts w:cs="Times New Roman"/>
        </w:rPr>
        <w:noBreakHyphen/>
        <w:t>930. (A) Every state agency head must require the agency’s procurement officer, or other state employee authorized to purchase supplies for the agency, to replace an incandescent light bulb in the state agency with a compact fluor</w:t>
      </w:r>
      <w:r>
        <w:rPr>
          <w:rFonts w:cs="Times New Roman"/>
        </w:rPr>
        <w:t>escent light bulb, or any other product of equal or better performance, when the incandescent bulb needs to be replaced, and if the agency determines use of a compact fluorescent bulb is more cost effective over a five</w:t>
      </w:r>
      <w:r>
        <w:rPr>
          <w:rFonts w:cs="Times New Roman"/>
        </w:rPr>
        <w:noBreakHyphen/>
        <w:t>year period than use of an incandesce</w:t>
      </w:r>
      <w:r>
        <w:rPr>
          <w:rFonts w:cs="Times New Roman"/>
        </w:rPr>
        <w:t>nt bulb. A state agency may purchase incandescent bulbs for the agency if the agency verifies, in writing, that compelling circumstances require the use of incandescent bulbs.</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Each agency must comply with this section by July 1, 2011.”</w:t>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w:t>
      </w:r>
      <w:r>
        <w:rPr>
          <w:rFonts w:cs="Times New Roman"/>
          <w:color w:val="000000"/>
        </w:rPr>
        <w:t>s act takes effect upon approval by the Governor</w:t>
      </w:r>
      <w:r>
        <w:rPr>
          <w:rFonts w:cs="Times New Roman"/>
        </w:rPr>
        <w:t>.</w:t>
      </w:r>
    </w:p>
    <w:p w:rsidR="00C7608F" w:rsidRDefault="00C9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C7608F" w:rsidRDefault="00C7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608F" w:rsidSect="00C760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08F" w:rsidRDefault="00C97B1E">
      <w:r>
        <w:separator/>
      </w:r>
    </w:p>
  </w:endnote>
  <w:endnote w:type="continuationSeparator" w:id="1">
    <w:p w:rsidR="00C7608F" w:rsidRDefault="00C97B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F549A-785E-411D-A79E-BAD63D55A680}"/>
    <w:embedBold r:id="rId2" w:fontKey="{5C8F70C6-DADF-4031-984F-3C0838AAE52A}"/>
  </w:font>
  <w:font w:name="Calibri">
    <w:panose1 w:val="020F0502020204030204"/>
    <w:charset w:val="00"/>
    <w:family w:val="swiss"/>
    <w:pitch w:val="variable"/>
    <w:sig w:usb0="A00002EF" w:usb1="4000207B" w:usb2="00000000" w:usb3="00000000" w:csb0="0000009F" w:csb1="00000000"/>
    <w:embedRegular r:id="rId3" w:fontKey="{2ED80D5C-22BE-4F22-9FA0-78F59224D2F5}"/>
    <w:embedBold r:id="rId4" w:fontKey="{C0F373A3-5D6F-4CEA-91EC-A7DA5153D15E}"/>
  </w:font>
  <w:font w:name="Tahoma">
    <w:panose1 w:val="020B0604030504040204"/>
    <w:charset w:val="00"/>
    <w:family w:val="swiss"/>
    <w:pitch w:val="variable"/>
    <w:sig w:usb0="61002A87" w:usb1="80000000" w:usb2="00000008" w:usb3="00000000" w:csb0="000101FF" w:csb1="00000000"/>
    <w:embedRegular r:id="rId5" w:fontKey="{C0952722-0737-423F-ACCF-FD3553679FE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2FE5D901-B4D6-4279-9FF9-71937CD6A1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8F" w:rsidRDefault="00C97B1E">
    <w:pPr>
      <w:pStyle w:val="Footer"/>
      <w:tabs>
        <w:tab w:val="clear" w:pos="4680"/>
        <w:tab w:val="clear" w:pos="9360"/>
        <w:tab w:val="center" w:pos="2995"/>
      </w:tabs>
      <w:spacing w:before="120"/>
    </w:pPr>
    <w:r>
      <w:t>[9-</w:t>
    </w:r>
    <w:fldSimple w:instr=" PAGE  \* MERGEFORMAT ">
      <w:r>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08F" w:rsidRDefault="00C97B1E">
    <w:pPr>
      <w:pStyle w:val="Footer"/>
      <w:tabs>
        <w:tab w:val="clear" w:pos="4680"/>
        <w:tab w:val="clear" w:pos="9360"/>
        <w:tab w:val="center" w:pos="2995"/>
      </w:tabs>
      <w:spacing w:before="120"/>
    </w:pPr>
    <w:r>
      <w:t>[9]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08F" w:rsidRDefault="00C97B1E">
      <w:r>
        <w:separator/>
      </w:r>
    </w:p>
  </w:footnote>
  <w:footnote w:type="continuationSeparator" w:id="1">
    <w:p w:rsidR="00C7608F" w:rsidRDefault="00C97B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7608F"/>
    <w:rsid w:val="00C7608F"/>
    <w:rsid w:val="00C97B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760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7608F"/>
    <w:rPr>
      <w:szCs w:val="21"/>
    </w:rPr>
  </w:style>
  <w:style w:type="character" w:customStyle="1" w:styleId="PlainTextChar">
    <w:name w:val="Plain Text Char"/>
    <w:basedOn w:val="DefaultParagraphFont"/>
    <w:link w:val="PlainText"/>
    <w:uiPriority w:val="99"/>
    <w:rsid w:val="00C7608F"/>
    <w:rPr>
      <w:szCs w:val="21"/>
    </w:rPr>
  </w:style>
  <w:style w:type="paragraph" w:styleId="BodyText">
    <w:name w:val="Body Text"/>
    <w:basedOn w:val="Normal"/>
    <w:link w:val="BodyTextChar"/>
    <w:uiPriority w:val="99"/>
    <w:locked/>
    <w:rsid w:val="00C7608F"/>
  </w:style>
  <w:style w:type="character" w:customStyle="1" w:styleId="BodyTextChar">
    <w:name w:val="Body Text Char"/>
    <w:basedOn w:val="DefaultParagraphFont"/>
    <w:link w:val="BodyText"/>
    <w:uiPriority w:val="99"/>
    <w:rsid w:val="00C7608F"/>
  </w:style>
  <w:style w:type="paragraph" w:styleId="BalloonText">
    <w:name w:val="Balloon Text"/>
    <w:next w:val="Normal"/>
    <w:link w:val="BalloonTextChar"/>
    <w:uiPriority w:val="99"/>
    <w:unhideWhenUsed/>
    <w:rsid w:val="00C7608F"/>
    <w:rPr>
      <w:rFonts w:cs="Tahoma"/>
      <w:szCs w:val="16"/>
    </w:rPr>
  </w:style>
  <w:style w:type="character" w:customStyle="1" w:styleId="BalloonTextChar">
    <w:name w:val="Balloon Text Char"/>
    <w:basedOn w:val="DefaultParagraphFont"/>
    <w:link w:val="BalloonText"/>
    <w:uiPriority w:val="99"/>
    <w:rsid w:val="00C7608F"/>
    <w:rPr>
      <w:rFonts w:cs="Tahoma"/>
      <w:szCs w:val="16"/>
    </w:rPr>
  </w:style>
  <w:style w:type="paragraph" w:styleId="NormalWeb">
    <w:name w:val="Normal (Web)"/>
    <w:basedOn w:val="Normal"/>
    <w:next w:val="Normal"/>
    <w:semiHidden/>
    <w:locked/>
    <w:rsid w:val="00C7608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7608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7608F"/>
    <w:rPr>
      <w:rFonts w:cs="Times New Roman"/>
    </w:rPr>
  </w:style>
  <w:style w:type="paragraph" w:styleId="Header">
    <w:name w:val="header"/>
    <w:basedOn w:val="Normal"/>
    <w:link w:val="HeaderChar"/>
    <w:uiPriority w:val="99"/>
    <w:semiHidden/>
    <w:unhideWhenUsed/>
    <w:locked/>
    <w:rsid w:val="00C7608F"/>
    <w:pPr>
      <w:tabs>
        <w:tab w:val="center" w:pos="4680"/>
        <w:tab w:val="right" w:pos="9360"/>
      </w:tabs>
    </w:pPr>
  </w:style>
  <w:style w:type="character" w:customStyle="1" w:styleId="HeaderChar">
    <w:name w:val="Header Char"/>
    <w:basedOn w:val="DefaultParagraphFont"/>
    <w:link w:val="Header"/>
    <w:uiPriority w:val="99"/>
    <w:semiHidden/>
    <w:rsid w:val="00C7608F"/>
  </w:style>
  <w:style w:type="character" w:styleId="LineNumber">
    <w:name w:val="line number"/>
    <w:basedOn w:val="DefaultParagraphFont"/>
    <w:uiPriority w:val="99"/>
    <w:semiHidden/>
    <w:unhideWhenUsed/>
    <w:locked/>
    <w:rsid w:val="00C7608F"/>
  </w:style>
  <w:style w:type="character" w:styleId="Hyperlink">
    <w:name w:val="Hyperlink"/>
    <w:basedOn w:val="DefaultParagraphFont"/>
    <w:uiPriority w:val="99"/>
    <w:unhideWhenUsed/>
    <w:locked/>
    <w:rsid w:val="00C7608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_20090225.docx" TargetMode="External"/><Relationship Id="rId3" Type="http://schemas.openxmlformats.org/officeDocument/2006/relationships/webSettings" Target="webSettings.xml"/><Relationship Id="rId7" Type="http://schemas.openxmlformats.org/officeDocument/2006/relationships/hyperlink" Target="file:///p:\pprever\2009-10\9_200812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cgi-bin/web_bh10.exe?bill1=9&amp;session=118"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1094</Words>
  <Characters>6236</Characters>
  <Application>Microsoft Office Word</Application>
  <DocSecurity>0</DocSecurity>
  <Lines>51</Lines>
  <Paragraphs>14</Paragraphs>
  <ScaleCrop>false</ScaleCrop>
  <Company>Project Management</Company>
  <LinksUpToDate>false</LinksUpToDate>
  <CharactersWithSpaces>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2009-02-26T17:23:00Z</dcterms:created>
  <dcterms:modified xsi:type="dcterms:W3CDTF">2009-02-26T17:23:00Z</dcterms:modified>
</cp:coreProperties>
</file>