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2A7" w:rsidRDefault="009C42A7" w:rsidP="009C42A7">
      <w:pPr>
        <w:widowControl w:val="0"/>
        <w:jc w:val="center"/>
      </w:pPr>
      <w:bookmarkStart w:id="0" w:name="_GoBack"/>
      <w:bookmarkEnd w:id="0"/>
      <w:r w:rsidRPr="009C42A7">
        <w:rPr>
          <w:b/>
        </w:rPr>
        <w:t>South Carolina General Assembly</w:t>
      </w:r>
    </w:p>
    <w:p w:rsidR="009C42A7" w:rsidRDefault="009C42A7" w:rsidP="009C42A7">
      <w:pPr>
        <w:widowControl w:val="0"/>
        <w:jc w:val="center"/>
      </w:pPr>
      <w:r>
        <w:t>119th Session, 2011-2012</w:t>
      </w:r>
    </w:p>
    <w:p w:rsidR="009C42A7" w:rsidRDefault="009C42A7" w:rsidP="009C42A7">
      <w:pPr>
        <w:widowControl w:val="0"/>
      </w:pPr>
    </w:p>
    <w:p w:rsidR="009C42A7" w:rsidRDefault="009C42A7" w:rsidP="009C42A7">
      <w:pPr>
        <w:widowControl w:val="0"/>
        <w:rPr>
          <w:b/>
        </w:rPr>
      </w:pPr>
      <w:r w:rsidRPr="009C42A7">
        <w:rPr>
          <w:b/>
        </w:rPr>
        <w:t>S.</w:t>
      </w:r>
      <w:r>
        <w:rPr>
          <w:b/>
        </w:rPr>
        <w:t xml:space="preserve"> </w:t>
      </w:r>
      <w:r w:rsidRPr="009C42A7">
        <w:rPr>
          <w:b/>
        </w:rPr>
        <w:t>1051</w:t>
      </w:r>
    </w:p>
    <w:p w:rsidR="009C42A7" w:rsidRDefault="009C42A7" w:rsidP="009C42A7">
      <w:pPr>
        <w:widowControl w:val="0"/>
        <w:rPr>
          <w:b/>
        </w:rPr>
      </w:pPr>
    </w:p>
    <w:p w:rsidR="009C42A7" w:rsidRDefault="009C42A7" w:rsidP="009C42A7">
      <w:pPr>
        <w:widowControl w:val="0"/>
      </w:pPr>
      <w:r w:rsidRPr="009C42A7">
        <w:rPr>
          <w:b/>
        </w:rPr>
        <w:t>STATUS INFORMATION</w:t>
      </w:r>
    </w:p>
    <w:p w:rsidR="009C42A7" w:rsidRDefault="009C42A7" w:rsidP="009C42A7">
      <w:pPr>
        <w:widowControl w:val="0"/>
      </w:pPr>
    </w:p>
    <w:p w:rsidR="009C42A7" w:rsidRDefault="009C42A7" w:rsidP="009C42A7">
      <w:pPr>
        <w:widowControl w:val="0"/>
      </w:pPr>
      <w:r>
        <w:t>General Bill</w:t>
      </w:r>
    </w:p>
    <w:p w:rsidR="009C42A7" w:rsidRDefault="00386CC9" w:rsidP="009C42A7">
      <w:pPr>
        <w:widowControl w:val="0"/>
      </w:pPr>
      <w:r>
        <w:t>Sponsors: Senators Verdin, Elliott and Rose</w:t>
      </w:r>
    </w:p>
    <w:p w:rsidR="009C42A7" w:rsidRDefault="009C42A7" w:rsidP="009C42A7">
      <w:pPr>
        <w:widowControl w:val="0"/>
      </w:pPr>
      <w:r>
        <w:t>Document Path: l:\s-res\dbv\006tena.kmm.dbv.docx</w:t>
      </w:r>
    </w:p>
    <w:p w:rsidR="009C42A7" w:rsidRDefault="009C42A7" w:rsidP="009C42A7">
      <w:pPr>
        <w:widowControl w:val="0"/>
      </w:pPr>
    </w:p>
    <w:p w:rsidR="009743CD" w:rsidRDefault="009743CD" w:rsidP="009C42A7">
      <w:pPr>
        <w:widowControl w:val="0"/>
      </w:pPr>
      <w:r>
        <w:t>Introduced in the Senate on January 10, 2012</w:t>
      </w:r>
    </w:p>
    <w:p w:rsidR="009743CD" w:rsidRPr="009743CD" w:rsidRDefault="009743CD" w:rsidP="009C42A7">
      <w:pPr>
        <w:widowControl w:val="0"/>
      </w:pPr>
      <w:r>
        <w:t xml:space="preserve">Currently residing in the Senate Committee on </w:t>
      </w:r>
      <w:r w:rsidRPr="009743CD">
        <w:rPr>
          <w:b/>
        </w:rPr>
        <w:t>Judiciary</w:t>
      </w:r>
    </w:p>
    <w:p w:rsidR="009743CD" w:rsidRDefault="009743CD" w:rsidP="009C42A7">
      <w:pPr>
        <w:widowControl w:val="0"/>
      </w:pPr>
    </w:p>
    <w:p w:rsidR="009C42A7" w:rsidRDefault="009C42A7" w:rsidP="009C42A7">
      <w:pPr>
        <w:widowControl w:val="0"/>
      </w:pPr>
      <w:r>
        <w:t xml:space="preserve">Summary: </w:t>
      </w:r>
      <w:r w:rsidR="00C46E50">
        <w:t>Residential Landlord and Tenant Act</w:t>
      </w:r>
    </w:p>
    <w:p w:rsidR="009C42A7" w:rsidRDefault="009C42A7" w:rsidP="009C42A7">
      <w:pPr>
        <w:widowControl w:val="0"/>
      </w:pPr>
    </w:p>
    <w:p w:rsidR="009C42A7" w:rsidRDefault="009C42A7" w:rsidP="009C42A7">
      <w:pPr>
        <w:widowControl w:val="0"/>
      </w:pPr>
    </w:p>
    <w:p w:rsidR="009C42A7" w:rsidRDefault="009C42A7" w:rsidP="009C42A7">
      <w:pPr>
        <w:widowControl w:val="0"/>
        <w:tabs>
          <w:tab w:val="center" w:pos="590"/>
          <w:tab w:val="center" w:pos="1440"/>
          <w:tab w:val="left" w:pos="1872"/>
          <w:tab w:val="left" w:pos="9187"/>
        </w:tabs>
      </w:pPr>
      <w:r w:rsidRPr="009C42A7">
        <w:rPr>
          <w:b/>
        </w:rPr>
        <w:t>HISTORY OF LEGISLATIVE ACTIONS</w:t>
      </w:r>
    </w:p>
    <w:p w:rsidR="009C42A7" w:rsidRDefault="009C42A7" w:rsidP="009C42A7">
      <w:pPr>
        <w:widowControl w:val="0"/>
        <w:tabs>
          <w:tab w:val="center" w:pos="590"/>
          <w:tab w:val="center" w:pos="1440"/>
          <w:tab w:val="left" w:pos="1872"/>
          <w:tab w:val="left" w:pos="9187"/>
        </w:tabs>
      </w:pPr>
    </w:p>
    <w:p w:rsidR="009C42A7" w:rsidRPr="009C42A7" w:rsidRDefault="009C42A7" w:rsidP="009C42A7">
      <w:pPr>
        <w:widowControl w:val="0"/>
        <w:tabs>
          <w:tab w:val="center" w:pos="590"/>
          <w:tab w:val="center" w:pos="1440"/>
          <w:tab w:val="left" w:pos="1872"/>
          <w:tab w:val="left" w:pos="9187"/>
        </w:tabs>
      </w:pPr>
      <w:r w:rsidRPr="009C42A7">
        <w:rPr>
          <w:u w:val="single"/>
        </w:rPr>
        <w:tab/>
        <w:t>Date</w:t>
      </w:r>
      <w:r w:rsidRPr="009C42A7">
        <w:rPr>
          <w:u w:val="single"/>
        </w:rPr>
        <w:tab/>
        <w:t>Body</w:t>
      </w:r>
      <w:r w:rsidRPr="009C42A7">
        <w:rPr>
          <w:u w:val="single"/>
        </w:rPr>
        <w:tab/>
        <w:t>Action Description with journal page number</w:t>
      </w:r>
      <w:r w:rsidRPr="009C42A7">
        <w:rPr>
          <w:u w:val="single"/>
        </w:rPr>
        <w:tab/>
      </w:r>
    </w:p>
    <w:p w:rsidR="00E20FB1" w:rsidRDefault="00E20FB1" w:rsidP="00E20FB1">
      <w:pPr>
        <w:widowControl w:val="0"/>
        <w:tabs>
          <w:tab w:val="right" w:pos="1008"/>
          <w:tab w:val="left" w:pos="1152"/>
          <w:tab w:val="left" w:pos="1872"/>
          <w:tab w:val="left" w:pos="9187"/>
        </w:tabs>
        <w:ind w:left="2088" w:hanging="2088"/>
      </w:pPr>
      <w:r>
        <w:tab/>
        <w:t>12/5/2011</w:t>
      </w:r>
      <w:r>
        <w:tab/>
        <w:t>Senate</w:t>
      </w:r>
      <w:r>
        <w:tab/>
      </w:r>
      <w:r w:rsidRPr="006D58DB">
        <w:t>Prefiled</w:t>
      </w:r>
    </w:p>
    <w:p w:rsidR="00E20FB1" w:rsidRDefault="00E20FB1" w:rsidP="00E20FB1">
      <w:pPr>
        <w:widowControl w:val="0"/>
        <w:tabs>
          <w:tab w:val="right" w:pos="1008"/>
          <w:tab w:val="left" w:pos="1152"/>
          <w:tab w:val="left" w:pos="1872"/>
          <w:tab w:val="left" w:pos="9187"/>
        </w:tabs>
        <w:ind w:left="2088" w:hanging="2088"/>
      </w:pPr>
      <w:r>
        <w:tab/>
        <w:t>12/5/2011</w:t>
      </w:r>
      <w:r>
        <w:tab/>
        <w:t>Senate</w:t>
      </w:r>
      <w:r>
        <w:tab/>
      </w:r>
      <w:r w:rsidRPr="006D58DB">
        <w:t xml:space="preserve">Referred to Committee on </w:t>
      </w:r>
      <w:r w:rsidRPr="006D58DB">
        <w:rPr>
          <w:b/>
        </w:rPr>
        <w:t>Judiciary</w:t>
      </w:r>
    </w:p>
    <w:p w:rsidR="00E20FB1" w:rsidRDefault="00E20FB1" w:rsidP="00E20FB1">
      <w:pPr>
        <w:widowControl w:val="0"/>
        <w:tabs>
          <w:tab w:val="right" w:pos="1008"/>
          <w:tab w:val="left" w:pos="1152"/>
          <w:tab w:val="left" w:pos="1872"/>
          <w:tab w:val="left" w:pos="9187"/>
        </w:tabs>
        <w:ind w:left="2088" w:hanging="2088"/>
      </w:pPr>
      <w:r>
        <w:tab/>
        <w:t>1/10/2012</w:t>
      </w:r>
      <w:r>
        <w:tab/>
        <w:t>Senate</w:t>
      </w:r>
      <w:r>
        <w:tab/>
      </w:r>
      <w:r w:rsidRPr="006D58DB">
        <w:t>Introduced and read first time (</w:t>
      </w:r>
      <w:hyperlink r:id="rId6" w:history="1">
        <w:r w:rsidRPr="006D58DB">
          <w:rPr>
            <w:rStyle w:val="Hyperlink"/>
          </w:rPr>
          <w:t>Senate Journal</w:t>
        </w:r>
        <w:r w:rsidRPr="006D58DB">
          <w:rPr>
            <w:rStyle w:val="Hyperlink"/>
          </w:rPr>
          <w:noBreakHyphen/>
          <w:t>page 29</w:t>
        </w:r>
      </w:hyperlink>
      <w:r w:rsidRPr="006D58DB">
        <w:t>)</w:t>
      </w:r>
    </w:p>
    <w:p w:rsidR="00E20FB1" w:rsidRDefault="00E20FB1" w:rsidP="00E20FB1">
      <w:pPr>
        <w:widowControl w:val="0"/>
        <w:tabs>
          <w:tab w:val="right" w:pos="1008"/>
          <w:tab w:val="left" w:pos="1152"/>
          <w:tab w:val="left" w:pos="1872"/>
          <w:tab w:val="left" w:pos="9187"/>
        </w:tabs>
        <w:ind w:left="2088" w:hanging="2088"/>
      </w:pPr>
      <w:r>
        <w:tab/>
        <w:t>1/10/2012</w:t>
      </w:r>
      <w:r>
        <w:tab/>
        <w:t>Senate</w:t>
      </w:r>
      <w:r>
        <w:tab/>
      </w:r>
      <w:r w:rsidRPr="006D58DB">
        <w:t>Ref</w:t>
      </w:r>
      <w:r>
        <w:t xml:space="preserve">erred to Committee on </w:t>
      </w:r>
      <w:r w:rsidRPr="006D58DB">
        <w:rPr>
          <w:b/>
        </w:rPr>
        <w:t>Judiciary</w:t>
      </w:r>
      <w:r>
        <w:t xml:space="preserve"> </w:t>
      </w:r>
      <w:r w:rsidRPr="006D58DB">
        <w:t>(</w:t>
      </w:r>
      <w:hyperlink r:id="rId7" w:history="1">
        <w:r w:rsidRPr="006D58DB">
          <w:rPr>
            <w:rStyle w:val="Hyperlink"/>
          </w:rPr>
          <w:t>Senate Journal</w:t>
        </w:r>
        <w:r w:rsidRPr="006D58DB">
          <w:rPr>
            <w:rStyle w:val="Hyperlink"/>
          </w:rPr>
          <w:noBreakHyphen/>
          <w:t>page 29</w:t>
        </w:r>
      </w:hyperlink>
      <w:r w:rsidRPr="006D58DB">
        <w:t>)</w:t>
      </w:r>
    </w:p>
    <w:p w:rsidR="00E20FB1" w:rsidRDefault="00E20FB1" w:rsidP="00E20FB1">
      <w:pPr>
        <w:widowControl w:val="0"/>
        <w:tabs>
          <w:tab w:val="right" w:pos="1008"/>
          <w:tab w:val="left" w:pos="1152"/>
          <w:tab w:val="left" w:pos="1872"/>
          <w:tab w:val="left" w:pos="9187"/>
        </w:tabs>
        <w:ind w:left="2088" w:hanging="2088"/>
      </w:pPr>
      <w:r>
        <w:tab/>
        <w:t>1/9/2012</w:t>
      </w:r>
      <w:r>
        <w:tab/>
        <w:t>Senate</w:t>
      </w:r>
      <w:r>
        <w:tab/>
      </w:r>
      <w:r w:rsidRPr="006D58DB">
        <w:t>Referred to S</w:t>
      </w:r>
      <w:r>
        <w:t xml:space="preserve">ubcommittee: Malloy (ch), Ford, </w:t>
      </w:r>
      <w:r w:rsidRPr="006D58DB">
        <w:t>Massey, S.Martin</w:t>
      </w:r>
    </w:p>
    <w:p w:rsidR="00E20FB1" w:rsidRDefault="00E20FB1" w:rsidP="00E20FB1">
      <w:pPr>
        <w:widowControl w:val="0"/>
        <w:tabs>
          <w:tab w:val="right" w:pos="1008"/>
          <w:tab w:val="left" w:pos="1152"/>
          <w:tab w:val="left" w:pos="1872"/>
          <w:tab w:val="left" w:pos="9187"/>
        </w:tabs>
        <w:ind w:left="2088" w:hanging="2088"/>
      </w:pPr>
    </w:p>
    <w:p w:rsidR="009C42A7" w:rsidRPr="009C42A7" w:rsidRDefault="009C42A7" w:rsidP="009C42A7">
      <w:pPr>
        <w:widowControl w:val="0"/>
        <w:tabs>
          <w:tab w:val="right" w:pos="1008"/>
          <w:tab w:val="left" w:pos="1152"/>
          <w:tab w:val="left" w:pos="1872"/>
          <w:tab w:val="left" w:pos="9187"/>
        </w:tabs>
        <w:ind w:left="2088" w:hanging="2088"/>
      </w:pPr>
    </w:p>
    <w:p w:rsidR="009C42A7" w:rsidRDefault="009C42A7" w:rsidP="009C42A7">
      <w:pPr>
        <w:widowControl w:val="0"/>
      </w:pPr>
      <w:r w:rsidRPr="009C42A7">
        <w:rPr>
          <w:b/>
        </w:rPr>
        <w:t>VERSIONS OF THIS BILL</w:t>
      </w:r>
    </w:p>
    <w:p w:rsidR="009C42A7" w:rsidRDefault="009C42A7" w:rsidP="009C42A7">
      <w:pPr>
        <w:widowControl w:val="0"/>
      </w:pPr>
    </w:p>
    <w:p w:rsidR="009C42A7" w:rsidRDefault="00A7580B" w:rsidP="009C42A7">
      <w:pPr>
        <w:widowControl w:val="0"/>
      </w:pPr>
      <w:hyperlink r:id="rId8" w:history="1">
        <w:r w:rsidR="009C42A7">
          <w:rPr>
            <w:rStyle w:val="Hyperlink"/>
          </w:rPr>
          <w:t>12/5/2011</w:t>
        </w:r>
      </w:hyperlink>
    </w:p>
    <w:p w:rsidR="009C42A7" w:rsidRDefault="009C42A7" w:rsidP="009C42A7"/>
    <w:p w:rsidR="009C42A7" w:rsidRDefault="009C42A7" w:rsidP="009C42A7">
      <w:pPr>
        <w:sectPr w:rsidR="009C42A7" w:rsidSect="009C42A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7F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6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40, TITLE 27 OF THE 1976 CODE, RELATING TO THE RESIDENTIAL LANDLORD AND TENANT ACT, BY ADDING SECTION 27</w:t>
      </w:r>
      <w:r w:rsidR="004C5B96">
        <w:rPr>
          <w:rFonts w:eastAsia="Times New Roman"/>
        </w:rPr>
        <w:noBreakHyphen/>
      </w:r>
      <w:r>
        <w:rPr>
          <w:rFonts w:eastAsia="Times New Roman"/>
        </w:rPr>
        <w:t>40</w:t>
      </w:r>
      <w:r w:rsidR="004C5B96">
        <w:rPr>
          <w:rFonts w:eastAsia="Times New Roman"/>
        </w:rPr>
        <w:noBreakHyphen/>
      </w:r>
      <w:r>
        <w:rPr>
          <w:rFonts w:eastAsia="Times New Roman"/>
        </w:rPr>
        <w:t xml:space="preserve">550 TO PROVIDE THAT A TENANT MAY NOT HARM THE PREMISES IN RETALIATION FOR A LANDLORD INITIATING AN EJECTMENT PROCEEDING; </w:t>
      </w:r>
      <w:r w:rsidR="00BA3433">
        <w:rPr>
          <w:rFonts w:eastAsia="Times New Roman"/>
        </w:rPr>
        <w:t xml:space="preserve">AND </w:t>
      </w:r>
      <w:r w:rsidR="00A81C84">
        <w:rPr>
          <w:rFonts w:eastAsia="Times New Roman"/>
        </w:rPr>
        <w:t>BY ADDING SECTION 2</w:t>
      </w:r>
      <w:r w:rsidR="00A81C84" w:rsidRPr="008172BF">
        <w:rPr>
          <w:color w:val="000000" w:themeColor="text1"/>
          <w:u w:color="000000" w:themeColor="text1"/>
        </w:rPr>
        <w:t>7</w:t>
      </w:r>
      <w:r w:rsidR="004C5B96">
        <w:rPr>
          <w:color w:val="000000" w:themeColor="text1"/>
          <w:u w:color="000000" w:themeColor="text1"/>
        </w:rPr>
        <w:noBreakHyphen/>
      </w:r>
      <w:r w:rsidR="00A81C84" w:rsidRPr="008172BF">
        <w:rPr>
          <w:color w:val="000000" w:themeColor="text1"/>
          <w:u w:color="000000" w:themeColor="text1"/>
        </w:rPr>
        <w:t>40</w:t>
      </w:r>
      <w:r w:rsidR="004C5B96">
        <w:rPr>
          <w:color w:val="000000" w:themeColor="text1"/>
          <w:u w:color="000000" w:themeColor="text1"/>
        </w:rPr>
        <w:noBreakHyphen/>
      </w:r>
      <w:r w:rsidR="00A81C84" w:rsidRPr="008172BF">
        <w:rPr>
          <w:color w:val="000000" w:themeColor="text1"/>
          <w:u w:color="000000" w:themeColor="text1"/>
        </w:rPr>
        <w:t>810</w:t>
      </w:r>
      <w:r w:rsidR="00A81C84">
        <w:rPr>
          <w:color w:val="000000" w:themeColor="text1"/>
          <w:u w:color="000000" w:themeColor="text1"/>
        </w:rPr>
        <w:t xml:space="preserve"> </w:t>
      </w:r>
      <w:r>
        <w:rPr>
          <w:rFonts w:eastAsia="Times New Roman"/>
        </w:rPr>
        <w:t>TO PROVIDE THAT A TENANT THAT HARMS THE PREMISES IN RETALIATION FOR THE LANDLORD INITIATING AN EJECTMENT PROCEEDING MUST MAKE THE NECESSARY REPAIRS OR REIMBURSE THE LANDLORD FOR THE COSTS OF THE REPAIRS IF THE LANDLORD REPAIRS THE DAMAGES</w:t>
      </w:r>
      <w:r w:rsidR="00BA3433">
        <w:rPr>
          <w:rFonts w:eastAsia="Times New Roman"/>
        </w:rPr>
        <w:t xml:space="preserve"> </w:t>
      </w:r>
      <w:r>
        <w:rPr>
          <w:rFonts w:eastAsia="Times New Roman"/>
        </w:rPr>
        <w:t xml:space="preserve">AND TO PROVIDE THAT </w:t>
      </w:r>
      <w:r w:rsidR="00BA3433">
        <w:rPr>
          <w:rFonts w:eastAsia="Times New Roman"/>
        </w:rPr>
        <w:t xml:space="preserve">THE </w:t>
      </w:r>
      <w:r>
        <w:rPr>
          <w:rFonts w:eastAsia="Times New Roman"/>
        </w:rPr>
        <w:t>LANDLORD MAY RECOVER THE COSTS OF THE REPAIRS AND ATTORNEY</w:t>
      </w:r>
      <w:r w:rsidR="004C5B96" w:rsidRPr="004C5B96">
        <w:rPr>
          <w:rFonts w:eastAsia="Times New Roman"/>
        </w:rPr>
        <w:t>’</w:t>
      </w:r>
      <w:r w:rsidR="00F265E7">
        <w:rPr>
          <w:rFonts w:eastAsia="Times New Roman"/>
        </w:rPr>
        <w:t xml:space="preserve">S </w:t>
      </w:r>
      <w:r>
        <w:rPr>
          <w:rFonts w:eastAsia="Times New Roman"/>
        </w:rPr>
        <w:t>FEES IF THE TENANT DOES NOT REIMBURSE HIM.</w:t>
      </w:r>
    </w:p>
    <w:p w:rsidR="006A7FE8" w:rsidRDefault="006A7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Be it enacted by the General Assembly of the State of South Carolina:</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SECTION</w:t>
      </w:r>
      <w:r w:rsidRPr="008172BF">
        <w:rPr>
          <w:color w:val="000000" w:themeColor="text1"/>
          <w:u w:color="000000" w:themeColor="text1"/>
        </w:rPr>
        <w:tab/>
        <w:t>1.</w:t>
      </w:r>
      <w:r w:rsidRPr="008172BF">
        <w:rPr>
          <w:color w:val="000000" w:themeColor="text1"/>
          <w:u w:color="000000" w:themeColor="text1"/>
        </w:rPr>
        <w:tab/>
        <w:t>Chapter 40, Title 27 of the 1976 Code is amended by adding:</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ab/>
        <w:t>“Section 27</w:t>
      </w:r>
      <w:r w:rsidR="004C5B96">
        <w:rPr>
          <w:color w:val="000000" w:themeColor="text1"/>
          <w:u w:color="000000" w:themeColor="text1"/>
        </w:rPr>
        <w:noBreakHyphen/>
      </w:r>
      <w:r w:rsidRPr="008172BF">
        <w:rPr>
          <w:color w:val="000000" w:themeColor="text1"/>
          <w:u w:color="000000" w:themeColor="text1"/>
        </w:rPr>
        <w:t>40</w:t>
      </w:r>
      <w:r w:rsidR="004C5B96">
        <w:rPr>
          <w:color w:val="000000" w:themeColor="text1"/>
          <w:u w:color="000000" w:themeColor="text1"/>
        </w:rPr>
        <w:noBreakHyphen/>
      </w:r>
      <w:r w:rsidRPr="008172BF">
        <w:rPr>
          <w:color w:val="000000" w:themeColor="text1"/>
          <w:u w:color="000000" w:themeColor="text1"/>
        </w:rPr>
        <w:t>550.</w:t>
      </w:r>
      <w:r w:rsidRPr="008172BF">
        <w:rPr>
          <w:color w:val="000000" w:themeColor="text1"/>
          <w:u w:color="000000" w:themeColor="text1"/>
        </w:rPr>
        <w:tab/>
        <w:t xml:space="preserve">A tenant may not </w:t>
      </w:r>
      <w:r w:rsidR="00A50FD1">
        <w:rPr>
          <w:color w:val="000000" w:themeColor="text1"/>
          <w:u w:color="000000" w:themeColor="text1"/>
        </w:rPr>
        <w:t xml:space="preserve">destroy, deface, damage, impair, </w:t>
      </w:r>
      <w:r w:rsidRPr="008172BF">
        <w:rPr>
          <w:color w:val="000000" w:themeColor="text1"/>
          <w:u w:color="000000" w:themeColor="text1"/>
        </w:rPr>
        <w:t>or remove any part of the premises or permit any person to do so who is on the premises with the tenant</w:t>
      </w:r>
      <w:r w:rsidR="004C5B96" w:rsidRPr="004C5B96">
        <w:rPr>
          <w:color w:val="000000" w:themeColor="text1"/>
          <w:u w:color="000000" w:themeColor="text1"/>
        </w:rPr>
        <w:t>’</w:t>
      </w:r>
      <w:r w:rsidRPr="008172BF">
        <w:rPr>
          <w:color w:val="000000" w:themeColor="text1"/>
          <w:u w:color="000000" w:themeColor="text1"/>
        </w:rPr>
        <w:t xml:space="preserve">s permission or who is allowed access to the premises in retaliation for the landlord initiating ejectment proceedings pursuant to Chapter 37, Title 27.” </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SECTION</w:t>
      </w:r>
      <w:r w:rsidRPr="008172BF">
        <w:rPr>
          <w:color w:val="000000" w:themeColor="text1"/>
          <w:u w:color="000000" w:themeColor="text1"/>
        </w:rPr>
        <w:tab/>
        <w:t>2.</w:t>
      </w:r>
      <w:r w:rsidR="00BA3433">
        <w:rPr>
          <w:color w:val="000000" w:themeColor="text1"/>
          <w:u w:color="000000" w:themeColor="text1"/>
        </w:rPr>
        <w:tab/>
        <w:t>C</w:t>
      </w:r>
      <w:r w:rsidRPr="008172BF">
        <w:rPr>
          <w:color w:val="000000" w:themeColor="text1"/>
          <w:u w:color="000000" w:themeColor="text1"/>
        </w:rPr>
        <w:t>hapter 40, Title 27 of the 1976 Code is amended by adding:</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ab/>
        <w:t>“Section 27</w:t>
      </w:r>
      <w:r w:rsidR="004C5B96">
        <w:rPr>
          <w:color w:val="000000" w:themeColor="text1"/>
          <w:u w:color="000000" w:themeColor="text1"/>
        </w:rPr>
        <w:noBreakHyphen/>
      </w:r>
      <w:r w:rsidRPr="008172BF">
        <w:rPr>
          <w:color w:val="000000" w:themeColor="text1"/>
          <w:u w:color="000000" w:themeColor="text1"/>
        </w:rPr>
        <w:t>40</w:t>
      </w:r>
      <w:r w:rsidR="004C5B96">
        <w:rPr>
          <w:color w:val="000000" w:themeColor="text1"/>
          <w:u w:color="000000" w:themeColor="text1"/>
        </w:rPr>
        <w:noBreakHyphen/>
      </w:r>
      <w:r w:rsidRPr="008172BF">
        <w:rPr>
          <w:color w:val="000000" w:themeColor="text1"/>
          <w:u w:color="000000" w:themeColor="text1"/>
        </w:rPr>
        <w:t>810.</w:t>
      </w:r>
      <w:r w:rsidRPr="008172BF">
        <w:rPr>
          <w:color w:val="000000" w:themeColor="text1"/>
          <w:u w:color="000000" w:themeColor="text1"/>
        </w:rPr>
        <w:tab/>
        <w:t>(A)</w:t>
      </w:r>
      <w:r w:rsidRPr="008172BF">
        <w:rPr>
          <w:color w:val="000000" w:themeColor="text1"/>
          <w:u w:color="000000" w:themeColor="text1"/>
        </w:rPr>
        <w:tab/>
        <w:t>If there is noncompliance by the tenant with Section 27</w:t>
      </w:r>
      <w:r w:rsidR="004C5B96">
        <w:rPr>
          <w:color w:val="000000" w:themeColor="text1"/>
          <w:u w:color="000000" w:themeColor="text1"/>
        </w:rPr>
        <w:noBreakHyphen/>
      </w:r>
      <w:r w:rsidRPr="008172BF">
        <w:rPr>
          <w:color w:val="000000" w:themeColor="text1"/>
          <w:u w:color="000000" w:themeColor="text1"/>
        </w:rPr>
        <w:t>40</w:t>
      </w:r>
      <w:r w:rsidR="004C5B96">
        <w:rPr>
          <w:color w:val="000000" w:themeColor="text1"/>
          <w:u w:color="000000" w:themeColor="text1"/>
        </w:rPr>
        <w:noBreakHyphen/>
      </w:r>
      <w:r w:rsidRPr="008172BF">
        <w:rPr>
          <w:color w:val="000000" w:themeColor="text1"/>
          <w:u w:color="000000" w:themeColor="text1"/>
        </w:rPr>
        <w:t>550 that can be remedied by repair, replacement of a damaged item, or cleaning, and the tenant fails to comply within fourteen days after written notice by the landlord specifying the breach and requesting that the tenant remedy it within that period of time, the landlord may enter the dwelling unit and cause the work to be done in a workmanlike manner and the tenant shall reimburse the landlord for the cost and, in addition, the landlord shall have the remedies available under this chapter.</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ab/>
        <w:t>(B)</w:t>
      </w:r>
      <w:r w:rsidRPr="008172BF">
        <w:rPr>
          <w:color w:val="000000" w:themeColor="text1"/>
          <w:u w:color="000000" w:themeColor="text1"/>
        </w:rPr>
        <w:tab/>
        <w:t>If a tenant does not reimburse the landlord for costs incurred pursuant to subsection (A) within thirty days of the completion of the work, the landlord may recover the costs and reasonable attorney</w:t>
      </w:r>
      <w:r w:rsidR="004C5B96" w:rsidRPr="004C5B96">
        <w:rPr>
          <w:color w:val="000000" w:themeColor="text1"/>
          <w:u w:color="000000" w:themeColor="text1"/>
        </w:rPr>
        <w:t>’</w:t>
      </w:r>
      <w:r w:rsidRPr="008172BF">
        <w:rPr>
          <w:color w:val="000000" w:themeColor="text1"/>
          <w:u w:color="000000" w:themeColor="text1"/>
        </w:rPr>
        <w:t>s fees.”</w:t>
      </w: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3E2F" w:rsidRPr="008172BF" w:rsidRDefault="00AA3E2F" w:rsidP="00A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2BF">
        <w:rPr>
          <w:color w:val="000000" w:themeColor="text1"/>
          <w:u w:color="000000" w:themeColor="text1"/>
        </w:rPr>
        <w:t>SECTION</w:t>
      </w:r>
      <w:r w:rsidRPr="008172BF">
        <w:rPr>
          <w:color w:val="000000" w:themeColor="text1"/>
          <w:u w:color="000000" w:themeColor="text1"/>
        </w:rPr>
        <w:tab/>
        <w:t>3.</w:t>
      </w:r>
      <w:r w:rsidRPr="008172BF">
        <w:rPr>
          <w:color w:val="000000" w:themeColor="text1"/>
          <w:u w:color="000000" w:themeColor="text1"/>
        </w:rPr>
        <w:tab/>
        <w:t>This act takes effect upon approval by the Governor.</w:t>
      </w:r>
    </w:p>
    <w:p w:rsidR="00E25059" w:rsidRDefault="004C5B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059" w:rsidRDefault="00E25059" w:rsidP="009C42A7">
      <w:pPr>
        <w:suppressAutoHyphens/>
        <w:jc w:val="both"/>
        <w:rPr>
          <w:rFonts w:eastAsia="Times New Roman"/>
        </w:rPr>
      </w:pPr>
    </w:p>
    <w:sectPr w:rsidR="00E25059" w:rsidSect="009C42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FD1" w:rsidRDefault="00A50FD1" w:rsidP="00522CE0">
      <w:r>
        <w:separator/>
      </w:r>
    </w:p>
  </w:endnote>
  <w:endnote w:type="continuationSeparator" w:id="0">
    <w:p w:rsidR="00A50FD1" w:rsidRDefault="00A50F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D023F6-9844-4BAA-B222-0C69172A9EC3}"/>
    <w:embedBold r:id="rId2" w:fontKey="{E1E0E713-F6DA-4A39-92D5-67CE634B29A5}"/>
  </w:font>
  <w:font w:name="Calibri">
    <w:panose1 w:val="020F0502020204030204"/>
    <w:charset w:val="00"/>
    <w:family w:val="swiss"/>
    <w:pitch w:val="variable"/>
    <w:sig w:usb0="E10002FF" w:usb1="4000ACFF" w:usb2="00000009" w:usb3="00000000" w:csb0="0000019F" w:csb1="00000000"/>
    <w:embedRegular r:id="rId3" w:fontKey="{044D1650-E57B-46EF-AF67-C7189F141B0E}"/>
    <w:embedBold r:id="rId4" w:fontKey="{F32CD0C8-3F54-4CE8-85BC-FD30724E25C9}"/>
  </w:font>
  <w:font w:name="Cambria">
    <w:panose1 w:val="02040503050406030204"/>
    <w:charset w:val="00"/>
    <w:family w:val="roman"/>
    <w:pitch w:val="variable"/>
    <w:sig w:usb0="E00002FF" w:usb1="400004FF" w:usb2="00000000" w:usb3="00000000" w:csb0="0000019F" w:csb1="00000000"/>
    <w:embedRegular r:id="rId5" w:fontKey="{2A00016A-EE49-4CAC-9A80-8E5E3FF24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A7" w:rsidRPr="00E25059" w:rsidRDefault="009C42A7" w:rsidP="00E25059">
    <w:pPr>
      <w:pStyle w:val="Footer"/>
      <w:tabs>
        <w:tab w:val="clear" w:pos="4680"/>
        <w:tab w:val="clear" w:pos="9360"/>
        <w:tab w:val="center" w:pos="2995"/>
      </w:tabs>
      <w:spacing w:before="120"/>
    </w:pPr>
    <w:r>
      <w:t>[1051]</w:t>
    </w:r>
    <w:r>
      <w:tab/>
    </w:r>
    <w:r w:rsidR="00A7580B">
      <w:fldChar w:fldCharType="begin"/>
    </w:r>
    <w:r w:rsidR="00A7580B">
      <w:instrText xml:space="preserve"> PAGE  \* MERGEFORMAT </w:instrText>
    </w:r>
    <w:r w:rsidR="00A7580B">
      <w:fldChar w:fldCharType="separate"/>
    </w:r>
    <w:r w:rsidR="00A7580B">
      <w:rPr>
        <w:noProof/>
      </w:rPr>
      <w:t>1</w:t>
    </w:r>
    <w:r w:rsidR="00A758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FD1" w:rsidRDefault="00A50FD1" w:rsidP="00522CE0">
      <w:r>
        <w:separator/>
      </w:r>
    </w:p>
  </w:footnote>
  <w:footnote w:type="continuationSeparator" w:id="0">
    <w:p w:rsidR="00A50FD1" w:rsidRDefault="00A50F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6TENA.KMM.DBV"/>
    <w:docVar w:name="CoverAttorneyInitials" w:val="KMM"/>
    <w:docVar w:name="CoverAttorneyLastName" w:val="Moffitt"/>
    <w:docVar w:name="CoverBillType" w:val="b"/>
    <w:docVar w:name="CoverSenator" w:val="DBV"/>
    <w:docVar w:name="dvBillNumber" w:val="1051"/>
    <w:docVar w:name="dvBillNumberPrefix" w:val="S. "/>
    <w:docVar w:name="dvOriginalBody" w:val="Senate"/>
    <w:docVar w:name="fulldraftpath" w:val="L:\S-RES\DBV\006TENA.KMM.DBV.DOCX"/>
    <w:docVar w:name="NameofBody" w:val="S"/>
    <w:docVar w:name="vgroup2" w:val="S-RES"/>
  </w:docVars>
  <w:rsids>
    <w:rsidRoot w:val="002F267E"/>
    <w:rsid w:val="00026FCD"/>
    <w:rsid w:val="00042AC1"/>
    <w:rsid w:val="00046516"/>
    <w:rsid w:val="0007601D"/>
    <w:rsid w:val="000A0CEA"/>
    <w:rsid w:val="000B0720"/>
    <w:rsid w:val="000B5EAF"/>
    <w:rsid w:val="00105D2B"/>
    <w:rsid w:val="00170561"/>
    <w:rsid w:val="00186AC9"/>
    <w:rsid w:val="00197DF1"/>
    <w:rsid w:val="001B3DD9"/>
    <w:rsid w:val="001B7E5D"/>
    <w:rsid w:val="001D3BAC"/>
    <w:rsid w:val="00245C4E"/>
    <w:rsid w:val="002474B8"/>
    <w:rsid w:val="002C1321"/>
    <w:rsid w:val="002C5896"/>
    <w:rsid w:val="002D3BED"/>
    <w:rsid w:val="002F267E"/>
    <w:rsid w:val="00307C2B"/>
    <w:rsid w:val="00357D7A"/>
    <w:rsid w:val="00383247"/>
    <w:rsid w:val="00386CC9"/>
    <w:rsid w:val="003D6E2B"/>
    <w:rsid w:val="003E7597"/>
    <w:rsid w:val="00450668"/>
    <w:rsid w:val="0047524E"/>
    <w:rsid w:val="004952FA"/>
    <w:rsid w:val="004B4EA4"/>
    <w:rsid w:val="004B6A22"/>
    <w:rsid w:val="004C090F"/>
    <w:rsid w:val="004C5B96"/>
    <w:rsid w:val="004D7F37"/>
    <w:rsid w:val="00522CE0"/>
    <w:rsid w:val="00565148"/>
    <w:rsid w:val="0057309F"/>
    <w:rsid w:val="00593361"/>
    <w:rsid w:val="005A413B"/>
    <w:rsid w:val="005A5017"/>
    <w:rsid w:val="005A648C"/>
    <w:rsid w:val="005D7D0E"/>
    <w:rsid w:val="005F1745"/>
    <w:rsid w:val="006A7FE8"/>
    <w:rsid w:val="006C74EA"/>
    <w:rsid w:val="006E5524"/>
    <w:rsid w:val="00720D40"/>
    <w:rsid w:val="007318D4"/>
    <w:rsid w:val="0075206B"/>
    <w:rsid w:val="00765784"/>
    <w:rsid w:val="007A095D"/>
    <w:rsid w:val="007A4390"/>
    <w:rsid w:val="007E5CB7"/>
    <w:rsid w:val="008314D2"/>
    <w:rsid w:val="00837024"/>
    <w:rsid w:val="00876F23"/>
    <w:rsid w:val="008B2F42"/>
    <w:rsid w:val="008C3697"/>
    <w:rsid w:val="008C62DD"/>
    <w:rsid w:val="008E185F"/>
    <w:rsid w:val="008F023B"/>
    <w:rsid w:val="00904E16"/>
    <w:rsid w:val="009162B3"/>
    <w:rsid w:val="00927C62"/>
    <w:rsid w:val="009705A1"/>
    <w:rsid w:val="009743CD"/>
    <w:rsid w:val="00983951"/>
    <w:rsid w:val="00984124"/>
    <w:rsid w:val="00984640"/>
    <w:rsid w:val="00995C37"/>
    <w:rsid w:val="009C118A"/>
    <w:rsid w:val="009C42A7"/>
    <w:rsid w:val="00A02011"/>
    <w:rsid w:val="00A0491E"/>
    <w:rsid w:val="00A4011E"/>
    <w:rsid w:val="00A42F9B"/>
    <w:rsid w:val="00A50FD1"/>
    <w:rsid w:val="00A74291"/>
    <w:rsid w:val="00A7580B"/>
    <w:rsid w:val="00A81C84"/>
    <w:rsid w:val="00A86015"/>
    <w:rsid w:val="00A9594E"/>
    <w:rsid w:val="00AA3E2F"/>
    <w:rsid w:val="00AE59C8"/>
    <w:rsid w:val="00B10098"/>
    <w:rsid w:val="00B32672"/>
    <w:rsid w:val="00B5790D"/>
    <w:rsid w:val="00B945C5"/>
    <w:rsid w:val="00BA20EA"/>
    <w:rsid w:val="00BA3433"/>
    <w:rsid w:val="00BB5AFC"/>
    <w:rsid w:val="00BC0A56"/>
    <w:rsid w:val="00BF4C50"/>
    <w:rsid w:val="00C45366"/>
    <w:rsid w:val="00C46E50"/>
    <w:rsid w:val="00C57023"/>
    <w:rsid w:val="00C74052"/>
    <w:rsid w:val="00CB187A"/>
    <w:rsid w:val="00CC0EC7"/>
    <w:rsid w:val="00CD48FC"/>
    <w:rsid w:val="00D07D9D"/>
    <w:rsid w:val="00D1088B"/>
    <w:rsid w:val="00D14DE6"/>
    <w:rsid w:val="00D156D2"/>
    <w:rsid w:val="00D27B59"/>
    <w:rsid w:val="00D86943"/>
    <w:rsid w:val="00DA47B9"/>
    <w:rsid w:val="00E058D3"/>
    <w:rsid w:val="00E20FB1"/>
    <w:rsid w:val="00E25059"/>
    <w:rsid w:val="00E76AD9"/>
    <w:rsid w:val="00E805DB"/>
    <w:rsid w:val="00E91E2F"/>
    <w:rsid w:val="00E967E4"/>
    <w:rsid w:val="00EA3546"/>
    <w:rsid w:val="00EB47AE"/>
    <w:rsid w:val="00EC34E1"/>
    <w:rsid w:val="00F0234A"/>
    <w:rsid w:val="00F265E7"/>
    <w:rsid w:val="00F516C9"/>
    <w:rsid w:val="00F52959"/>
    <w:rsid w:val="00F55884"/>
    <w:rsid w:val="00F8621F"/>
    <w:rsid w:val="00F90A90"/>
    <w:rsid w:val="00FB0D6B"/>
    <w:rsid w:val="00FC0D36"/>
    <w:rsid w:val="00FE6467"/>
    <w:rsid w:val="00FF2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889AFB2-E2BE-4EA3-A168-AAC1E8F9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42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51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452</Words>
  <Characters>2367</Characters>
  <Application>Microsoft Office Word</Application>
  <DocSecurity>4</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1051: Residential Landlord and Tenant Act - South Carolina Legislature Online</dc:title>
  <dc:subject/>
  <dc:creator>KenMoffitt</dc:creator>
  <cp:keywords/>
  <dc:description/>
  <cp:lastModifiedBy>N Cumfer</cp:lastModifiedBy>
  <cp:revision>2</cp:revision>
  <cp:lastPrinted>2011-12-05T15:07:00Z</cp:lastPrinted>
  <dcterms:created xsi:type="dcterms:W3CDTF">2014-11-21T21:06:00Z</dcterms:created>
  <dcterms:modified xsi:type="dcterms:W3CDTF">2014-11-21T21:06:00Z</dcterms:modified>
</cp:coreProperties>
</file>