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857" w:rsidRDefault="00163857" w:rsidP="00163857">
      <w:pPr>
        <w:widowControl w:val="0"/>
        <w:jc w:val="center"/>
      </w:pPr>
      <w:bookmarkStart w:id="0" w:name="_GoBack"/>
      <w:bookmarkEnd w:id="0"/>
      <w:r w:rsidRPr="00163857">
        <w:rPr>
          <w:b/>
        </w:rPr>
        <w:t>South Carolina General Assembly</w:t>
      </w:r>
    </w:p>
    <w:p w:rsidR="00163857" w:rsidRDefault="00163857" w:rsidP="00163857">
      <w:pPr>
        <w:widowControl w:val="0"/>
        <w:jc w:val="center"/>
      </w:pPr>
      <w:r>
        <w:t>119th Session, 2011-2012</w:t>
      </w: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  <w:rPr>
          <w:b/>
        </w:rPr>
      </w:pPr>
      <w:r w:rsidRPr="00163857">
        <w:rPr>
          <w:b/>
        </w:rPr>
        <w:t>S.</w:t>
      </w:r>
      <w:r>
        <w:rPr>
          <w:b/>
        </w:rPr>
        <w:t xml:space="preserve"> </w:t>
      </w:r>
      <w:r w:rsidRPr="00163857">
        <w:rPr>
          <w:b/>
        </w:rPr>
        <w:t>1416</w:t>
      </w:r>
    </w:p>
    <w:p w:rsidR="00163857" w:rsidRDefault="00163857" w:rsidP="00163857">
      <w:pPr>
        <w:widowControl w:val="0"/>
        <w:rPr>
          <w:b/>
        </w:rPr>
      </w:pPr>
    </w:p>
    <w:p w:rsidR="00163857" w:rsidRDefault="00163857" w:rsidP="00163857">
      <w:pPr>
        <w:widowControl w:val="0"/>
      </w:pPr>
      <w:r w:rsidRPr="00163857">
        <w:rPr>
          <w:b/>
        </w:rPr>
        <w:t>STATUS INFORMATION</w:t>
      </w: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</w:pPr>
      <w:r>
        <w:t>Joint Resolution</w:t>
      </w:r>
    </w:p>
    <w:p w:rsidR="00163857" w:rsidRDefault="003C039A" w:rsidP="00163857">
      <w:pPr>
        <w:widowControl w:val="0"/>
      </w:pPr>
      <w:r>
        <w:t>Sponsors: Senators L. Martin, Campbell, Shoopman and Cleary</w:t>
      </w:r>
    </w:p>
    <w:p w:rsidR="00163857" w:rsidRDefault="00163857" w:rsidP="00163857">
      <w:pPr>
        <w:widowControl w:val="0"/>
      </w:pPr>
      <w:r>
        <w:t>Document Path: l:\s-res\lam\010liab.mrh.lam.docx</w:t>
      </w: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</w:pPr>
      <w:r>
        <w:t>Introduced in the Senate on April 10, 2012</w:t>
      </w:r>
    </w:p>
    <w:p w:rsidR="00163857" w:rsidRDefault="00163857" w:rsidP="00163857">
      <w:pPr>
        <w:widowControl w:val="0"/>
      </w:pPr>
      <w:r>
        <w:t xml:space="preserve">Currently residing in the Senate Committee on </w:t>
      </w:r>
      <w:r w:rsidRPr="00163857">
        <w:rPr>
          <w:b/>
        </w:rPr>
        <w:t>Judiciary</w:t>
      </w: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</w:pPr>
      <w:r>
        <w:t xml:space="preserve">Summary: </w:t>
      </w:r>
      <w:r w:rsidR="00EE59F9">
        <w:t>Liability of members and managers of Limited Liability Companies</w:t>
      </w: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</w:pPr>
    </w:p>
    <w:p w:rsidR="00163857" w:rsidRDefault="00163857" w:rsidP="0016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857">
        <w:rPr>
          <w:b/>
        </w:rPr>
        <w:t>HISTORY OF LEGISLATIVE ACTIONS</w:t>
      </w:r>
    </w:p>
    <w:p w:rsidR="00163857" w:rsidRDefault="00163857" w:rsidP="0016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63857" w:rsidRPr="00163857" w:rsidRDefault="00163857" w:rsidP="0016385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857">
        <w:rPr>
          <w:u w:val="single"/>
        </w:rPr>
        <w:tab/>
        <w:t>Date</w:t>
      </w:r>
      <w:r w:rsidRPr="00163857">
        <w:rPr>
          <w:u w:val="single"/>
        </w:rPr>
        <w:tab/>
        <w:t>Body</w:t>
      </w:r>
      <w:r w:rsidRPr="00163857">
        <w:rPr>
          <w:u w:val="single"/>
        </w:rPr>
        <w:tab/>
        <w:t>Action Description with journal page number</w:t>
      </w:r>
      <w:r w:rsidRPr="00163857">
        <w:rPr>
          <w:u w:val="single"/>
        </w:rPr>
        <w:tab/>
      </w:r>
    </w:p>
    <w:p w:rsidR="0023426E" w:rsidRDefault="0023426E" w:rsidP="00234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4/10/2012</w:t>
      </w:r>
      <w:r>
        <w:tab/>
        <w:t>Senate</w:t>
      </w:r>
      <w:r>
        <w:tab/>
      </w:r>
      <w:r w:rsidRPr="005A74FB">
        <w:t>Introduced and read first time (</w:t>
      </w:r>
      <w:hyperlink r:id="rId6" w:history="1">
        <w:r w:rsidRPr="005A74FB">
          <w:rPr>
            <w:rStyle w:val="Hyperlink"/>
          </w:rPr>
          <w:t>Senate Journal</w:t>
        </w:r>
        <w:r w:rsidRPr="005A74FB">
          <w:rPr>
            <w:rStyle w:val="Hyperlink"/>
          </w:rPr>
          <w:noBreakHyphen/>
          <w:t>page 11</w:t>
        </w:r>
      </w:hyperlink>
      <w:r w:rsidRPr="005A74FB">
        <w:t>)</w:t>
      </w:r>
    </w:p>
    <w:p w:rsidR="0023426E" w:rsidRDefault="0023426E" w:rsidP="00234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4/10/2012</w:t>
      </w:r>
      <w:r>
        <w:tab/>
        <w:t>Senate</w:t>
      </w:r>
      <w:r>
        <w:tab/>
      </w:r>
      <w:r w:rsidRPr="005A74FB">
        <w:t>Ref</w:t>
      </w:r>
      <w:r>
        <w:t xml:space="preserve">erred to Committee on </w:t>
      </w:r>
      <w:r w:rsidRPr="005A74FB">
        <w:rPr>
          <w:b/>
        </w:rPr>
        <w:t>Judiciary</w:t>
      </w:r>
      <w:r>
        <w:t xml:space="preserve"> </w:t>
      </w:r>
      <w:r w:rsidRPr="005A74FB">
        <w:t>(</w:t>
      </w:r>
      <w:hyperlink r:id="rId7" w:history="1">
        <w:r w:rsidRPr="005A74FB">
          <w:rPr>
            <w:rStyle w:val="Hyperlink"/>
          </w:rPr>
          <w:t>Senate Journal</w:t>
        </w:r>
        <w:r w:rsidRPr="005A74FB">
          <w:rPr>
            <w:rStyle w:val="Hyperlink"/>
          </w:rPr>
          <w:noBreakHyphen/>
          <w:t>page 11</w:t>
        </w:r>
      </w:hyperlink>
      <w:r w:rsidRPr="005A74FB">
        <w:t>)</w:t>
      </w:r>
    </w:p>
    <w:p w:rsidR="0023426E" w:rsidRDefault="0023426E" w:rsidP="00234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4/11/2012</w:t>
      </w:r>
      <w:r>
        <w:tab/>
        <w:t>Senate</w:t>
      </w:r>
      <w:r>
        <w:tab/>
      </w:r>
      <w:r w:rsidRPr="005A74FB">
        <w:t>Referred to Sub</w:t>
      </w:r>
      <w:r>
        <w:t xml:space="preserve">committee: Campsen (ch), Hutto, </w:t>
      </w:r>
      <w:r w:rsidRPr="005A74FB">
        <w:t>Malloy, Campbell, Massey</w:t>
      </w:r>
    </w:p>
    <w:p w:rsidR="0023426E" w:rsidRDefault="0023426E" w:rsidP="002342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857" w:rsidRPr="00163857" w:rsidRDefault="00163857" w:rsidP="001638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857" w:rsidRDefault="00163857" w:rsidP="00163857">
      <w:pPr>
        <w:widowControl w:val="0"/>
      </w:pPr>
      <w:r w:rsidRPr="00163857">
        <w:rPr>
          <w:b/>
        </w:rPr>
        <w:t>VERSIONS OF THIS BILL</w:t>
      </w:r>
    </w:p>
    <w:p w:rsidR="00163857" w:rsidRDefault="00163857" w:rsidP="00163857">
      <w:pPr>
        <w:widowControl w:val="0"/>
      </w:pPr>
    </w:p>
    <w:p w:rsidR="00163857" w:rsidRDefault="00107892" w:rsidP="00163857">
      <w:pPr>
        <w:widowControl w:val="0"/>
      </w:pPr>
      <w:hyperlink r:id="rId8" w:history="1">
        <w:r w:rsidR="00163857">
          <w:rPr>
            <w:rStyle w:val="Hyperlink"/>
          </w:rPr>
          <w:t>4/10/2012</w:t>
        </w:r>
      </w:hyperlink>
    </w:p>
    <w:p w:rsidR="00163857" w:rsidRDefault="00163857" w:rsidP="00163857"/>
    <w:p w:rsidR="00163857" w:rsidRDefault="00163857" w:rsidP="00163857">
      <w:pPr>
        <w:sectPr w:rsidR="00163857" w:rsidSect="001638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72D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5492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E756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RECODIFY S</w:t>
      </w:r>
      <w:r w:rsidRPr="00A1498B">
        <w:rPr>
          <w:color w:val="000000" w:themeColor="text1"/>
          <w:u w:color="000000" w:themeColor="text1"/>
        </w:rPr>
        <w:t>ECTION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</w:t>
      </w:r>
      <w:r>
        <w:rPr>
          <w:color w:val="000000" w:themeColor="text1"/>
          <w:u w:color="000000" w:themeColor="text1"/>
        </w:rPr>
        <w:t xml:space="preserve"> OF THE 1976 CODE, RELATING TO THE LIABILITY OF MEMBERS AND MANAGERS OF LIMITED LIABILITY COMPANIES, AND TO EXPRESS THAT IT IS THE </w:t>
      </w:r>
      <w:r w:rsidRPr="00A1498B">
        <w:rPr>
          <w:color w:val="000000" w:themeColor="text1"/>
          <w:u w:color="000000" w:themeColor="text1"/>
        </w:rPr>
        <w:t xml:space="preserve">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</w:t>
      </w:r>
      <w:r>
        <w:rPr>
          <w:color w:val="000000" w:themeColor="text1"/>
          <w:u w:color="000000" w:themeColor="text1"/>
        </w:rPr>
        <w:t xml:space="preserve"> </w:t>
      </w:r>
      <w:r w:rsidRPr="00A1498B">
        <w:rPr>
          <w:color w:val="000000" w:themeColor="text1"/>
          <w:u w:color="000000" w:themeColor="text1"/>
        </w:rPr>
        <w:t xml:space="preserve">TO SHIELD A MEMBER OF A </w:t>
      </w:r>
      <w:r>
        <w:rPr>
          <w:color w:val="000000" w:themeColor="text1"/>
          <w:u w:color="000000" w:themeColor="text1"/>
        </w:rPr>
        <w:t xml:space="preserve">LIMITED LIABILITY COMPANY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THE LIMITED LIABILITY COMPANY</w:t>
      </w:r>
      <w:r w:rsidR="00032FA9" w:rsidRPr="00032F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BUSINESS.</w:t>
      </w:r>
    </w:p>
    <w:p w:rsidR="00E5492F" w:rsidRDefault="00E5492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</w:t>
      </w:r>
      <w:r w:rsidR="00D12EF6">
        <w:rPr>
          <w:color w:val="000000" w:themeColor="text1"/>
          <w:u w:color="000000" w:themeColor="text1"/>
        </w:rPr>
        <w:t xml:space="preserve">recently issued the opinion in </w:t>
      </w:r>
      <w:r w:rsidRPr="00A1498B">
        <w:rPr>
          <w:color w:val="000000" w:themeColor="text1"/>
          <w:u w:color="000000" w:themeColor="text1"/>
        </w:rPr>
        <w:t xml:space="preserve">the case of </w:t>
      </w:r>
      <w:r w:rsidRPr="003E545D">
        <w:rPr>
          <w:i/>
          <w:color w:val="000000" w:themeColor="text1"/>
          <w:u w:color="000000" w:themeColor="text1"/>
        </w:rPr>
        <w:t>16 Jade Street v. R. Design Construction Co., LLC, et al.</w:t>
      </w:r>
      <w:r>
        <w:rPr>
          <w:color w:val="000000" w:themeColor="text1"/>
          <w:u w:color="000000" w:themeColor="text1"/>
        </w:rPr>
        <w:t xml:space="preserve">, </w:t>
      </w:r>
      <w:r w:rsidRPr="00A1498B">
        <w:rPr>
          <w:color w:val="000000" w:themeColor="text1"/>
          <w:u w:color="000000" w:themeColor="text1"/>
        </w:rPr>
        <w:t xml:space="preserve">where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held that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did not intend the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imited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iability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orporation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ct to shield a member of the </w:t>
      </w:r>
      <w:r>
        <w:rPr>
          <w:color w:val="000000" w:themeColor="text1"/>
          <w:u w:color="000000" w:themeColor="text1"/>
        </w:rPr>
        <w:t>LLC</w:t>
      </w:r>
      <w:r w:rsidRPr="00A1498B">
        <w:rPr>
          <w:color w:val="000000" w:themeColor="text1"/>
          <w:u w:color="000000" w:themeColor="text1"/>
        </w:rPr>
        <w:t xml:space="preserve"> from liability for his own torts;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“while we agree the language of the </w:t>
      </w:r>
      <w:r>
        <w:rPr>
          <w:color w:val="000000" w:themeColor="text1"/>
          <w:u w:color="000000" w:themeColor="text1"/>
        </w:rPr>
        <w:t>LLC A</w:t>
      </w:r>
      <w:r w:rsidRPr="00A1498B">
        <w:rPr>
          <w:color w:val="000000" w:themeColor="text1"/>
          <w:u w:color="000000" w:themeColor="text1"/>
        </w:rPr>
        <w:t xml:space="preserve">ct appears to insulate a member from personal liability, we hold that such a sweeping liability shield was not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ssembly”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ourt further provided in its majority opinion that “the right to sue one</w:t>
      </w:r>
      <w:r w:rsidR="00032FA9"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s tortfeasor is a long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standing right in our legal system, and we will only find it abrogated by statute through </w:t>
      </w:r>
      <w:r w:rsidR="00032FA9" w:rsidRPr="00032FA9">
        <w:rPr>
          <w:color w:val="000000" w:themeColor="text1"/>
          <w:u w:color="000000" w:themeColor="text1"/>
        </w:rPr>
        <w:t>‘</w:t>
      </w:r>
      <w:r w:rsidRPr="00A1498B">
        <w:rPr>
          <w:color w:val="000000" w:themeColor="text1"/>
          <w:u w:color="000000" w:themeColor="text1"/>
        </w:rPr>
        <w:t>clear legislative intent</w:t>
      </w:r>
      <w:r w:rsidR="00032FA9" w:rsidRPr="00032FA9">
        <w:rPr>
          <w:color w:val="000000" w:themeColor="text1"/>
          <w:u w:color="000000" w:themeColor="text1"/>
        </w:rPr>
        <w:t>’</w:t>
      </w:r>
      <w:r w:rsidRPr="00A1498B">
        <w:rPr>
          <w:color w:val="000000" w:themeColor="text1"/>
          <w:u w:color="000000" w:themeColor="text1"/>
        </w:rPr>
        <w:t>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 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provided in its majority opinion that “we are not persuaded that (limiting personal liability) was the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>sse</w:t>
      </w:r>
      <w:r w:rsidR="00BA111D">
        <w:rPr>
          <w:color w:val="000000" w:themeColor="text1"/>
          <w:u w:color="000000" w:themeColor="text1"/>
        </w:rPr>
        <w:t>mbly</w:t>
      </w:r>
      <w:r w:rsidRPr="00A1498B">
        <w:rPr>
          <w:color w:val="000000" w:themeColor="text1"/>
          <w:u w:color="000000" w:themeColor="text1"/>
        </w:rPr>
        <w:t>”</w:t>
      </w:r>
      <w:r w:rsidR="00BA111D">
        <w:rPr>
          <w:color w:val="000000" w:themeColor="text1"/>
          <w:u w:color="000000" w:themeColor="text1"/>
        </w:rPr>
        <w:t>;</w:t>
      </w:r>
      <w:r w:rsidRPr="00A1498B">
        <w:rPr>
          <w:color w:val="000000" w:themeColor="text1"/>
          <w:u w:color="000000" w:themeColor="text1"/>
        </w:rPr>
        <w:t xml:space="preserve"> and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A1498B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stated in its majority opinion that they “conclude that </w:t>
      </w:r>
      <w:r>
        <w:rPr>
          <w:color w:val="000000" w:themeColor="text1"/>
          <w:u w:color="000000" w:themeColor="text1"/>
        </w:rPr>
        <w:t>Se</w:t>
      </w:r>
      <w:r w:rsidRPr="00A1498B">
        <w:rPr>
          <w:color w:val="000000" w:themeColor="text1"/>
          <w:u w:color="000000" w:themeColor="text1"/>
        </w:rPr>
        <w:t>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303(a) only protects non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tortfeasor members from vicarious liability and does not insulate the tortfeasor himself from personal liability for his actions.” </w:t>
      </w:r>
      <w:r>
        <w:rPr>
          <w:color w:val="000000" w:themeColor="text1"/>
          <w:u w:color="000000" w:themeColor="text1"/>
        </w:rPr>
        <w:t xml:space="preserve"> N</w:t>
      </w:r>
      <w:r w:rsidRPr="00A1498B">
        <w:rPr>
          <w:color w:val="000000" w:themeColor="text1"/>
          <w:u w:color="000000" w:themeColor="text1"/>
        </w:rPr>
        <w:t>ow, therefore,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</w:t>
      </w:r>
      <w:r w:rsidRPr="00A1498B">
        <w:rPr>
          <w:color w:val="000000" w:themeColor="text1"/>
          <w:u w:color="000000" w:themeColor="text1"/>
        </w:rPr>
        <w:t xml:space="preserve">e it enacted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>arolina</w:t>
      </w:r>
      <w:r>
        <w:rPr>
          <w:color w:val="000000" w:themeColor="text1"/>
          <w:u w:color="000000" w:themeColor="text1"/>
        </w:rPr>
        <w:t>:</w:t>
      </w: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  <w:t>T</w:t>
      </w:r>
      <w:r w:rsidRPr="00A149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ssembly, by this joint resolution, recodifies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>ection 33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>44</w:t>
      </w:r>
      <w:r w:rsidR="00032FA9">
        <w:rPr>
          <w:color w:val="000000" w:themeColor="text1"/>
          <w:u w:color="000000" w:themeColor="text1"/>
        </w:rPr>
        <w:noBreakHyphen/>
      </w:r>
      <w:r w:rsidRPr="00A1498B">
        <w:rPr>
          <w:color w:val="000000" w:themeColor="text1"/>
          <w:u w:color="000000" w:themeColor="text1"/>
        </w:rPr>
        <w:t xml:space="preserve">303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ode of </w:t>
      </w:r>
      <w:r>
        <w:rPr>
          <w:color w:val="000000" w:themeColor="text1"/>
          <w:u w:color="000000" w:themeColor="text1"/>
        </w:rPr>
        <w:t>L</w:t>
      </w:r>
      <w:r w:rsidRPr="00A1498B">
        <w:rPr>
          <w:color w:val="000000" w:themeColor="text1"/>
          <w:u w:color="000000" w:themeColor="text1"/>
        </w:rPr>
        <w:t xml:space="preserve">aws as of the effective date of this joint resolution that was interpreted in the </w:t>
      </w:r>
      <w:r w:rsidRPr="003E545D">
        <w:rPr>
          <w:i/>
          <w:color w:val="000000" w:themeColor="text1"/>
          <w:u w:color="000000" w:themeColor="text1"/>
        </w:rPr>
        <w:t>16 Jade Street</w:t>
      </w:r>
      <w:r w:rsidRPr="00A1498B">
        <w:rPr>
          <w:color w:val="000000" w:themeColor="text1"/>
          <w:u w:color="000000" w:themeColor="text1"/>
        </w:rPr>
        <w:t xml:space="preserve"> opinion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upreme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ourt so that the clear and unambiguous intent of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of the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tate of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498B">
        <w:rPr>
          <w:color w:val="000000" w:themeColor="text1"/>
          <w:u w:color="000000" w:themeColor="text1"/>
        </w:rPr>
        <w:t xml:space="preserve">arolina as expressed in the language of that </w:t>
      </w:r>
      <w:r>
        <w:rPr>
          <w:color w:val="000000" w:themeColor="text1"/>
          <w:u w:color="000000" w:themeColor="text1"/>
        </w:rPr>
        <w:t>s</w:t>
      </w:r>
      <w:r w:rsidRPr="00A1498B">
        <w:rPr>
          <w:color w:val="000000" w:themeColor="text1"/>
          <w:u w:color="000000" w:themeColor="text1"/>
        </w:rPr>
        <w:t xml:space="preserve">ection is that the limited liability act was intended by the </w:t>
      </w:r>
      <w:r>
        <w:rPr>
          <w:color w:val="000000" w:themeColor="text1"/>
          <w:u w:color="000000" w:themeColor="text1"/>
        </w:rPr>
        <w:t>G</w:t>
      </w:r>
      <w:r w:rsidRPr="00A1498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A1498B">
        <w:rPr>
          <w:color w:val="000000" w:themeColor="text1"/>
          <w:u w:color="000000" w:themeColor="text1"/>
        </w:rPr>
        <w:t xml:space="preserve">ssembly to shield a member of an </w:t>
      </w:r>
      <w:r>
        <w:rPr>
          <w:color w:val="000000" w:themeColor="text1"/>
          <w:u w:color="000000" w:themeColor="text1"/>
        </w:rPr>
        <w:t xml:space="preserve">LLC </w:t>
      </w:r>
      <w:r w:rsidRPr="00A1498B">
        <w:rPr>
          <w:color w:val="000000" w:themeColor="text1"/>
          <w:u w:color="000000" w:themeColor="text1"/>
        </w:rPr>
        <w:t>from personal liability for actions taken in the ordina</w:t>
      </w:r>
      <w:r>
        <w:rPr>
          <w:color w:val="000000" w:themeColor="text1"/>
          <w:u w:color="000000" w:themeColor="text1"/>
        </w:rPr>
        <w:t>ry course of business of the LLC</w:t>
      </w:r>
      <w:r w:rsidRPr="00A1498B">
        <w:rPr>
          <w:color w:val="000000" w:themeColor="text1"/>
          <w:u w:color="000000" w:themeColor="text1"/>
        </w:rPr>
        <w:t>.</w:t>
      </w: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60A80" w:rsidRPr="00A1498B" w:rsidRDefault="00A60A80" w:rsidP="00A60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1498B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A1498B">
        <w:rPr>
          <w:color w:val="000000" w:themeColor="text1"/>
          <w:u w:color="000000" w:themeColor="text1"/>
        </w:rPr>
        <w:t>This joint resolution takes effect upon approval of the Governor.</w:t>
      </w:r>
    </w:p>
    <w:p w:rsidR="00872D9D" w:rsidRDefault="00032F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72D9D" w:rsidRDefault="00872D9D" w:rsidP="00163857">
      <w:pPr>
        <w:suppressAutoHyphens/>
        <w:jc w:val="both"/>
        <w:rPr>
          <w:rFonts w:eastAsia="Times New Roman"/>
        </w:rPr>
      </w:pPr>
    </w:p>
    <w:sectPr w:rsidR="00872D9D" w:rsidSect="0016385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92F" w:rsidRDefault="00E5492F" w:rsidP="00522CE0">
      <w:r>
        <w:separator/>
      </w:r>
    </w:p>
  </w:endnote>
  <w:endnote w:type="continuationSeparator" w:id="0">
    <w:p w:rsidR="00E5492F" w:rsidRDefault="00E5492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2E8F08-67E5-45A7-9952-A4B180E60E7D}"/>
    <w:embedBold r:id="rId2" w:fontKey="{8C7E7B77-FDA2-49B9-9021-929CF1281B25}"/>
    <w:embedItalic r:id="rId3" w:fontKey="{1674819A-8EA1-4AA5-BF46-8D140144A8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82C00A9-4DE3-48A0-8409-9F88E61174DC}"/>
    <w:embedBold r:id="rId5" w:fontKey="{E809760D-149C-4D14-9BD4-970FF2435B5B}"/>
    <w:embedItalic r:id="rId6" w:fontKey="{9F6E3886-96A2-4A19-8827-CF57C9565A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0C90F4B-711A-439E-AE85-C0B145EC7B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857" w:rsidRPr="00872D9D" w:rsidRDefault="00163857" w:rsidP="00872D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[1416]</w:t>
    </w:r>
    <w:r>
      <w:tab/>
    </w:r>
    <w:r w:rsidR="00107892">
      <w:fldChar w:fldCharType="begin"/>
    </w:r>
    <w:r w:rsidR="00107892">
      <w:instrText xml:space="preserve"> PAGE  \* MERGEFORMAT </w:instrText>
    </w:r>
    <w:r w:rsidR="00107892">
      <w:fldChar w:fldCharType="separate"/>
    </w:r>
    <w:r w:rsidR="00107892">
      <w:rPr>
        <w:noProof/>
      </w:rPr>
      <w:t>1</w:t>
    </w:r>
    <w:r w:rsidR="0010789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92F" w:rsidRDefault="00E5492F" w:rsidP="00522CE0">
      <w:r>
        <w:separator/>
      </w:r>
    </w:p>
  </w:footnote>
  <w:footnote w:type="continuationSeparator" w:id="0">
    <w:p w:rsidR="00E5492F" w:rsidRDefault="00E5492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0LIAB.MRH.LAM"/>
    <w:docVar w:name="CoverAttorneyInitials" w:val="MRH"/>
    <w:docVar w:name="CoverAttorneyLastName" w:val="Hitchcock"/>
    <w:docVar w:name="CoverBillType" w:val="j"/>
    <w:docVar w:name="CoverSenator" w:val="LAM"/>
    <w:docVar w:name="dvBillNumber" w:val="1416"/>
    <w:docVar w:name="dvBillNumberPrefix" w:val="S. "/>
    <w:docVar w:name="dvOriginalBody" w:val="Senate"/>
    <w:docVar w:name="fulldraftpath" w:val="L:\S-RES\LAM\010LIAB.MRH.LAM.DOCX"/>
    <w:docVar w:name="NameofBody" w:val="S"/>
    <w:docVar w:name="vgroup2" w:val="S-RES"/>
  </w:docVars>
  <w:rsids>
    <w:rsidRoot w:val="00475390"/>
    <w:rsid w:val="00032FA9"/>
    <w:rsid w:val="00042AC1"/>
    <w:rsid w:val="00046516"/>
    <w:rsid w:val="0007601D"/>
    <w:rsid w:val="000838DE"/>
    <w:rsid w:val="000B0720"/>
    <w:rsid w:val="000B5EAF"/>
    <w:rsid w:val="00107892"/>
    <w:rsid w:val="00152AA3"/>
    <w:rsid w:val="00156D35"/>
    <w:rsid w:val="00163857"/>
    <w:rsid w:val="00170561"/>
    <w:rsid w:val="00186AC9"/>
    <w:rsid w:val="00197DF1"/>
    <w:rsid w:val="001B3DD9"/>
    <w:rsid w:val="001B7E5D"/>
    <w:rsid w:val="001C6F3F"/>
    <w:rsid w:val="001D3BAC"/>
    <w:rsid w:val="0023426E"/>
    <w:rsid w:val="00245C4E"/>
    <w:rsid w:val="002A5788"/>
    <w:rsid w:val="002A600F"/>
    <w:rsid w:val="002C1321"/>
    <w:rsid w:val="002C5896"/>
    <w:rsid w:val="002D3BED"/>
    <w:rsid w:val="00307C2B"/>
    <w:rsid w:val="00383247"/>
    <w:rsid w:val="003C039A"/>
    <w:rsid w:val="003D6E2B"/>
    <w:rsid w:val="003E545D"/>
    <w:rsid w:val="003E7597"/>
    <w:rsid w:val="00434988"/>
    <w:rsid w:val="00450668"/>
    <w:rsid w:val="00475390"/>
    <w:rsid w:val="004952FA"/>
    <w:rsid w:val="004A1F62"/>
    <w:rsid w:val="004B6A22"/>
    <w:rsid w:val="004D7F37"/>
    <w:rsid w:val="00522CE0"/>
    <w:rsid w:val="00535426"/>
    <w:rsid w:val="0054702A"/>
    <w:rsid w:val="00555C0A"/>
    <w:rsid w:val="00565148"/>
    <w:rsid w:val="00593361"/>
    <w:rsid w:val="005A413B"/>
    <w:rsid w:val="005A5017"/>
    <w:rsid w:val="005A648C"/>
    <w:rsid w:val="005F1745"/>
    <w:rsid w:val="006B29EA"/>
    <w:rsid w:val="006C74EA"/>
    <w:rsid w:val="006F4326"/>
    <w:rsid w:val="00720D40"/>
    <w:rsid w:val="007318D4"/>
    <w:rsid w:val="00765784"/>
    <w:rsid w:val="007A4390"/>
    <w:rsid w:val="007E5CB7"/>
    <w:rsid w:val="008314D2"/>
    <w:rsid w:val="008508E2"/>
    <w:rsid w:val="00872D9D"/>
    <w:rsid w:val="0088618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C38"/>
    <w:rsid w:val="00995C37"/>
    <w:rsid w:val="009C118A"/>
    <w:rsid w:val="00A01AF9"/>
    <w:rsid w:val="00A02011"/>
    <w:rsid w:val="00A4011E"/>
    <w:rsid w:val="00A52636"/>
    <w:rsid w:val="00A60A80"/>
    <w:rsid w:val="00A86015"/>
    <w:rsid w:val="00A9594E"/>
    <w:rsid w:val="00AB0776"/>
    <w:rsid w:val="00AE59C8"/>
    <w:rsid w:val="00B10098"/>
    <w:rsid w:val="00B13DFE"/>
    <w:rsid w:val="00B23F5E"/>
    <w:rsid w:val="00B53775"/>
    <w:rsid w:val="00B5790D"/>
    <w:rsid w:val="00B945C5"/>
    <w:rsid w:val="00BA111D"/>
    <w:rsid w:val="00BA20EA"/>
    <w:rsid w:val="00BB5AFC"/>
    <w:rsid w:val="00BC0A56"/>
    <w:rsid w:val="00C45366"/>
    <w:rsid w:val="00C57023"/>
    <w:rsid w:val="00C74052"/>
    <w:rsid w:val="00CB187A"/>
    <w:rsid w:val="00CC0EC7"/>
    <w:rsid w:val="00CD3880"/>
    <w:rsid w:val="00D1088B"/>
    <w:rsid w:val="00D12EF6"/>
    <w:rsid w:val="00D14DE6"/>
    <w:rsid w:val="00D156D2"/>
    <w:rsid w:val="00D86943"/>
    <w:rsid w:val="00DA47B9"/>
    <w:rsid w:val="00E058D3"/>
    <w:rsid w:val="00E5492F"/>
    <w:rsid w:val="00E57F59"/>
    <w:rsid w:val="00E7560A"/>
    <w:rsid w:val="00E76AD9"/>
    <w:rsid w:val="00E8402B"/>
    <w:rsid w:val="00E91E2F"/>
    <w:rsid w:val="00EA3546"/>
    <w:rsid w:val="00EB47AE"/>
    <w:rsid w:val="00EC34E1"/>
    <w:rsid w:val="00EE59F9"/>
    <w:rsid w:val="00F0234A"/>
    <w:rsid w:val="00F46D25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oNotEmbedSmartTags/>
  <w:decimalSymbol w:val="."/>
  <w:listSeparator w:val=","/>
  <w15:docId w15:val="{554BC91F-310C-40A8-9E20-AA668F066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38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16_20120410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0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0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486</Words>
  <Characters>2607</Characters>
  <Application>Microsoft Office Word</Application>
  <DocSecurity>4</DocSecurity>
  <Lines>92</Lines>
  <Paragraphs>28</Paragraphs>
  <ScaleCrop>false</ScaleCrop>
  <Company> </Company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1416: Liability of members and managers of Limited Liability Companies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2014-11-21T21:18:00Z</dcterms:created>
  <dcterms:modified xsi:type="dcterms:W3CDTF">2014-11-21T21:18:00Z</dcterms:modified>
</cp:coreProperties>
</file>