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98C" w:rsidRDefault="00B7298C" w:rsidP="00B7298C">
      <w:pPr>
        <w:widowControl w:val="0"/>
        <w:jc w:val="center"/>
      </w:pPr>
      <w:bookmarkStart w:id="0" w:name="_GoBack"/>
      <w:bookmarkEnd w:id="0"/>
      <w:r w:rsidRPr="00B7298C">
        <w:rPr>
          <w:b/>
        </w:rPr>
        <w:t>South Carolina General Assembly</w:t>
      </w:r>
    </w:p>
    <w:p w:rsidR="00B7298C" w:rsidRDefault="00B7298C" w:rsidP="00B7298C">
      <w:pPr>
        <w:widowControl w:val="0"/>
        <w:jc w:val="center"/>
      </w:pPr>
      <w:r>
        <w:t>119th Session, 2011-2012</w:t>
      </w:r>
    </w:p>
    <w:p w:rsidR="00B7298C" w:rsidRDefault="00B7298C" w:rsidP="00B7298C">
      <w:pPr>
        <w:widowControl w:val="0"/>
      </w:pPr>
    </w:p>
    <w:p w:rsidR="00B7298C" w:rsidRDefault="00B7298C" w:rsidP="00B7298C">
      <w:pPr>
        <w:widowControl w:val="0"/>
        <w:rPr>
          <w:b/>
        </w:rPr>
      </w:pPr>
      <w:r w:rsidRPr="00B7298C">
        <w:rPr>
          <w:b/>
        </w:rPr>
        <w:t>S.</w:t>
      </w:r>
      <w:r>
        <w:rPr>
          <w:b/>
        </w:rPr>
        <w:t xml:space="preserve"> </w:t>
      </w:r>
      <w:r w:rsidRPr="00B7298C">
        <w:rPr>
          <w:b/>
        </w:rPr>
        <w:t>266</w:t>
      </w:r>
    </w:p>
    <w:p w:rsidR="00B7298C" w:rsidRDefault="00B7298C" w:rsidP="00B7298C">
      <w:pPr>
        <w:widowControl w:val="0"/>
        <w:rPr>
          <w:b/>
        </w:rPr>
      </w:pPr>
    </w:p>
    <w:p w:rsidR="00B7298C" w:rsidRDefault="00B7298C" w:rsidP="00B7298C">
      <w:pPr>
        <w:widowControl w:val="0"/>
      </w:pPr>
      <w:r w:rsidRPr="00B7298C">
        <w:rPr>
          <w:b/>
        </w:rPr>
        <w:t>STATUS INFORMATION</w:t>
      </w:r>
    </w:p>
    <w:p w:rsidR="00B7298C" w:rsidRDefault="00B7298C" w:rsidP="00B7298C">
      <w:pPr>
        <w:widowControl w:val="0"/>
      </w:pPr>
    </w:p>
    <w:p w:rsidR="00B7298C" w:rsidRDefault="00B7298C" w:rsidP="00B7298C">
      <w:pPr>
        <w:widowControl w:val="0"/>
      </w:pPr>
      <w:r>
        <w:t>General Bill</w:t>
      </w:r>
    </w:p>
    <w:p w:rsidR="00B7298C" w:rsidRDefault="00B7298C" w:rsidP="00B7298C">
      <w:pPr>
        <w:widowControl w:val="0"/>
      </w:pPr>
      <w:r>
        <w:t>Sponsors: Senator McConnell</w:t>
      </w:r>
    </w:p>
    <w:p w:rsidR="00B7298C" w:rsidRDefault="00B7298C" w:rsidP="00B7298C">
      <w:pPr>
        <w:widowControl w:val="0"/>
      </w:pPr>
      <w:r>
        <w:t>Document Path: l:\s-jud\bills\mcconnell\jud0051.jjg.docx</w:t>
      </w:r>
    </w:p>
    <w:p w:rsidR="00E00AD2" w:rsidRDefault="00E00AD2" w:rsidP="00B7298C">
      <w:pPr>
        <w:widowControl w:val="0"/>
      </w:pPr>
      <w:r>
        <w:t>Companion/Similar bill(s): 45</w:t>
      </w:r>
    </w:p>
    <w:p w:rsidR="00B7298C" w:rsidRDefault="00B7298C" w:rsidP="00B7298C">
      <w:pPr>
        <w:widowControl w:val="0"/>
      </w:pPr>
    </w:p>
    <w:p w:rsidR="004154C0" w:rsidRDefault="004154C0" w:rsidP="00B7298C">
      <w:pPr>
        <w:widowControl w:val="0"/>
      </w:pPr>
      <w:r>
        <w:t>Introduced in the Senate on January 11, 2011</w:t>
      </w:r>
    </w:p>
    <w:p w:rsidR="004154C0" w:rsidRPr="004154C0" w:rsidRDefault="004154C0" w:rsidP="00B7298C">
      <w:pPr>
        <w:widowControl w:val="0"/>
      </w:pPr>
      <w:r>
        <w:t xml:space="preserve">Currently residing in the Senate Committee on </w:t>
      </w:r>
      <w:r w:rsidRPr="004154C0">
        <w:rPr>
          <w:b/>
        </w:rPr>
        <w:t>Judiciary</w:t>
      </w:r>
    </w:p>
    <w:p w:rsidR="004154C0" w:rsidRDefault="004154C0" w:rsidP="00B7298C">
      <w:pPr>
        <w:widowControl w:val="0"/>
      </w:pPr>
    </w:p>
    <w:p w:rsidR="00B7298C" w:rsidRDefault="00B7298C" w:rsidP="00B7298C">
      <w:pPr>
        <w:widowControl w:val="0"/>
      </w:pPr>
      <w:r>
        <w:t xml:space="preserve">Summary: </w:t>
      </w:r>
      <w:r w:rsidR="00D025BF">
        <w:t>Circuit court</w:t>
      </w:r>
    </w:p>
    <w:p w:rsidR="00B7298C" w:rsidRDefault="00B7298C" w:rsidP="00B7298C">
      <w:pPr>
        <w:widowControl w:val="0"/>
      </w:pPr>
    </w:p>
    <w:p w:rsidR="00B7298C" w:rsidRDefault="00B7298C" w:rsidP="00B7298C">
      <w:pPr>
        <w:widowControl w:val="0"/>
      </w:pPr>
    </w:p>
    <w:p w:rsidR="00B7298C" w:rsidRDefault="00B7298C" w:rsidP="00B7298C">
      <w:pPr>
        <w:widowControl w:val="0"/>
        <w:tabs>
          <w:tab w:val="center" w:pos="590"/>
          <w:tab w:val="center" w:pos="1440"/>
          <w:tab w:val="left" w:pos="1872"/>
          <w:tab w:val="left" w:pos="9187"/>
        </w:tabs>
      </w:pPr>
      <w:r w:rsidRPr="00B7298C">
        <w:rPr>
          <w:b/>
        </w:rPr>
        <w:t>HISTORY OF LEGISLATIVE ACTIONS</w:t>
      </w:r>
    </w:p>
    <w:p w:rsidR="00B7298C" w:rsidRDefault="00B7298C" w:rsidP="00B7298C">
      <w:pPr>
        <w:widowControl w:val="0"/>
        <w:tabs>
          <w:tab w:val="center" w:pos="590"/>
          <w:tab w:val="center" w:pos="1440"/>
          <w:tab w:val="left" w:pos="1872"/>
          <w:tab w:val="left" w:pos="9187"/>
        </w:tabs>
      </w:pPr>
    </w:p>
    <w:p w:rsidR="00B7298C" w:rsidRPr="00B7298C" w:rsidRDefault="00B7298C" w:rsidP="00B7298C">
      <w:pPr>
        <w:widowControl w:val="0"/>
        <w:tabs>
          <w:tab w:val="center" w:pos="590"/>
          <w:tab w:val="center" w:pos="1440"/>
          <w:tab w:val="left" w:pos="1872"/>
          <w:tab w:val="left" w:pos="9187"/>
        </w:tabs>
      </w:pPr>
      <w:r w:rsidRPr="00B7298C">
        <w:rPr>
          <w:u w:val="single"/>
        </w:rPr>
        <w:tab/>
        <w:t>Date</w:t>
      </w:r>
      <w:r w:rsidRPr="00B7298C">
        <w:rPr>
          <w:u w:val="single"/>
        </w:rPr>
        <w:tab/>
        <w:t>Body</w:t>
      </w:r>
      <w:r w:rsidRPr="00B7298C">
        <w:rPr>
          <w:u w:val="single"/>
        </w:rPr>
        <w:tab/>
        <w:t>Action Description with journal page number</w:t>
      </w:r>
      <w:r w:rsidRPr="00B7298C">
        <w:rPr>
          <w:u w:val="single"/>
        </w:rPr>
        <w:tab/>
      </w:r>
    </w:p>
    <w:p w:rsidR="0056744A" w:rsidRDefault="0056744A" w:rsidP="0056744A">
      <w:pPr>
        <w:widowControl w:val="0"/>
        <w:tabs>
          <w:tab w:val="right" w:pos="1008"/>
          <w:tab w:val="left" w:pos="1152"/>
          <w:tab w:val="left" w:pos="1872"/>
          <w:tab w:val="left" w:pos="9187"/>
        </w:tabs>
        <w:ind w:left="2088" w:hanging="2088"/>
      </w:pPr>
      <w:r>
        <w:tab/>
        <w:t>12/15/2010</w:t>
      </w:r>
      <w:r>
        <w:tab/>
        <w:t>Senate</w:t>
      </w:r>
      <w:r>
        <w:tab/>
      </w:r>
      <w:r w:rsidRPr="00AA49FA">
        <w:t>Prefiled</w:t>
      </w:r>
    </w:p>
    <w:p w:rsidR="0056744A" w:rsidRDefault="0056744A" w:rsidP="0056744A">
      <w:pPr>
        <w:widowControl w:val="0"/>
        <w:tabs>
          <w:tab w:val="right" w:pos="1008"/>
          <w:tab w:val="left" w:pos="1152"/>
          <w:tab w:val="left" w:pos="1872"/>
          <w:tab w:val="left" w:pos="9187"/>
        </w:tabs>
        <w:ind w:left="2088" w:hanging="2088"/>
      </w:pPr>
      <w:r>
        <w:tab/>
        <w:t>12/15/2010</w:t>
      </w:r>
      <w:r>
        <w:tab/>
        <w:t>Senate</w:t>
      </w:r>
      <w:r>
        <w:tab/>
      </w:r>
      <w:r w:rsidRPr="00AA49FA">
        <w:t xml:space="preserve">Referred to Committee on </w:t>
      </w:r>
      <w:r w:rsidRPr="00AA49FA">
        <w:rPr>
          <w:b/>
        </w:rPr>
        <w:t>Judiciary</w:t>
      </w:r>
    </w:p>
    <w:p w:rsidR="0056744A" w:rsidRDefault="0056744A" w:rsidP="0056744A">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AA49FA">
        <w:t>(</w:t>
      </w:r>
      <w:hyperlink r:id="rId6" w:history="1">
        <w:r w:rsidRPr="00AA49FA">
          <w:rPr>
            <w:rStyle w:val="Hyperlink"/>
          </w:rPr>
          <w:t>Senate Journal</w:t>
        </w:r>
        <w:r w:rsidRPr="00AA49FA">
          <w:rPr>
            <w:rStyle w:val="Hyperlink"/>
          </w:rPr>
          <w:noBreakHyphen/>
          <w:t>page 121</w:t>
        </w:r>
      </w:hyperlink>
      <w:r w:rsidRPr="00AA49FA">
        <w:t>)</w:t>
      </w:r>
    </w:p>
    <w:p w:rsidR="0056744A" w:rsidRDefault="0056744A" w:rsidP="0056744A">
      <w:pPr>
        <w:widowControl w:val="0"/>
        <w:tabs>
          <w:tab w:val="right" w:pos="1008"/>
          <w:tab w:val="left" w:pos="1152"/>
          <w:tab w:val="left" w:pos="1872"/>
          <w:tab w:val="left" w:pos="9187"/>
        </w:tabs>
        <w:ind w:left="2088" w:hanging="2088"/>
      </w:pPr>
      <w:r>
        <w:tab/>
        <w:t>1/11/2011</w:t>
      </w:r>
      <w:r>
        <w:tab/>
        <w:t>Senate</w:t>
      </w:r>
      <w:r>
        <w:tab/>
      </w:r>
      <w:r w:rsidRPr="00AA49FA">
        <w:t>Ref</w:t>
      </w:r>
      <w:r>
        <w:t xml:space="preserve">erred to Committee on </w:t>
      </w:r>
      <w:r w:rsidRPr="00AA49FA">
        <w:rPr>
          <w:b/>
        </w:rPr>
        <w:t>Judiciary</w:t>
      </w:r>
      <w:r>
        <w:t xml:space="preserve"> </w:t>
      </w:r>
      <w:r w:rsidRPr="00AA49FA">
        <w:t>(</w:t>
      </w:r>
      <w:hyperlink r:id="rId7" w:history="1">
        <w:r w:rsidRPr="00AA49FA">
          <w:rPr>
            <w:rStyle w:val="Hyperlink"/>
          </w:rPr>
          <w:t>Senate Journal</w:t>
        </w:r>
        <w:r w:rsidRPr="00AA49FA">
          <w:rPr>
            <w:rStyle w:val="Hyperlink"/>
          </w:rPr>
          <w:noBreakHyphen/>
          <w:t>page 121</w:t>
        </w:r>
      </w:hyperlink>
      <w:r w:rsidRPr="00AA49FA">
        <w:t>)</w:t>
      </w:r>
    </w:p>
    <w:p w:rsidR="0056744A" w:rsidRDefault="0056744A" w:rsidP="0056744A">
      <w:pPr>
        <w:widowControl w:val="0"/>
        <w:tabs>
          <w:tab w:val="right" w:pos="1008"/>
          <w:tab w:val="left" w:pos="1152"/>
          <w:tab w:val="left" w:pos="1872"/>
          <w:tab w:val="left" w:pos="9187"/>
        </w:tabs>
        <w:ind w:left="2088" w:hanging="2088"/>
      </w:pPr>
      <w:r>
        <w:tab/>
        <w:t>1/9/2012</w:t>
      </w:r>
      <w:r>
        <w:tab/>
        <w:t>Senate</w:t>
      </w:r>
      <w:r>
        <w:tab/>
      </w:r>
      <w:r w:rsidRPr="00AA49FA">
        <w:t>Referred to Subcommittee: Hutto (ch), Rose, Shoopman</w:t>
      </w:r>
    </w:p>
    <w:p w:rsidR="0056744A" w:rsidRDefault="0056744A" w:rsidP="0056744A">
      <w:pPr>
        <w:widowControl w:val="0"/>
        <w:tabs>
          <w:tab w:val="right" w:pos="1008"/>
          <w:tab w:val="left" w:pos="1152"/>
          <w:tab w:val="left" w:pos="1872"/>
          <w:tab w:val="left" w:pos="9187"/>
        </w:tabs>
        <w:ind w:left="2088" w:hanging="2088"/>
      </w:pPr>
    </w:p>
    <w:p w:rsidR="00B7298C" w:rsidRPr="00B7298C" w:rsidRDefault="00B7298C" w:rsidP="00B7298C">
      <w:pPr>
        <w:widowControl w:val="0"/>
        <w:tabs>
          <w:tab w:val="right" w:pos="1008"/>
          <w:tab w:val="left" w:pos="1152"/>
          <w:tab w:val="left" w:pos="1872"/>
          <w:tab w:val="left" w:pos="9187"/>
        </w:tabs>
        <w:ind w:left="2088" w:hanging="2088"/>
      </w:pPr>
    </w:p>
    <w:p w:rsidR="00B7298C" w:rsidRDefault="00B7298C" w:rsidP="00B7298C">
      <w:pPr>
        <w:widowControl w:val="0"/>
      </w:pPr>
      <w:r w:rsidRPr="00B7298C">
        <w:rPr>
          <w:b/>
        </w:rPr>
        <w:lastRenderedPageBreak/>
        <w:t>VERSIONS OF THIS BILL</w:t>
      </w:r>
    </w:p>
    <w:p w:rsidR="00B7298C" w:rsidRDefault="00B7298C" w:rsidP="00B7298C">
      <w:pPr>
        <w:widowControl w:val="0"/>
      </w:pPr>
    </w:p>
    <w:p w:rsidR="00B7298C" w:rsidRDefault="001110D7" w:rsidP="00B7298C">
      <w:pPr>
        <w:widowControl w:val="0"/>
      </w:pPr>
      <w:hyperlink r:id="rId8" w:history="1">
        <w:r w:rsidR="00B7298C">
          <w:rPr>
            <w:rStyle w:val="Hyperlink"/>
          </w:rPr>
          <w:t>12/15/2010</w:t>
        </w:r>
      </w:hyperlink>
    </w:p>
    <w:p w:rsidR="00B7298C" w:rsidRDefault="00B7298C" w:rsidP="00B7298C"/>
    <w:p w:rsidR="00B7298C" w:rsidRDefault="00B7298C" w:rsidP="00B7298C">
      <w:pPr>
        <w:sectPr w:rsidR="00B7298C" w:rsidSect="00B7298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62CF">
        <w:rPr>
          <w:rFonts w:eastAsia="Times New Roman"/>
          <w:b/>
          <w:sz w:val="30"/>
          <w:szCs w:val="30"/>
        </w:rPr>
        <w:t>BILL</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p>
    <w:p w:rsidR="00522CE0" w:rsidRPr="006E6B7E"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TO AMEND CHAPTER 15, TITLE 17 OF THE SOUTH CAROLINA CODE OF LAWS, 1976, BY ADDING SECTION 17</w:t>
      </w:r>
      <w:r w:rsidRPr="005C1621">
        <w:rPr>
          <w:rFonts w:eastAsia="Times New Roman"/>
          <w:color w:val="000000" w:themeColor="text1"/>
          <w:u w:color="000000" w:themeColor="text1"/>
        </w:rPr>
        <w:noBreakHyphen/>
        <w:t>15</w:t>
      </w:r>
      <w:r w:rsidRPr="005C1621">
        <w:rPr>
          <w:rFonts w:eastAsia="Times New Roman"/>
          <w:color w:val="000000" w:themeColor="text1"/>
          <w:u w:color="000000" w:themeColor="text1"/>
        </w:rPr>
        <w:noBreakHyphen/>
        <w:t>55, SO AS TO PROVIDE THAT THE CIRCUIT COURT SHALL CONSIDER MOTIONS REGARDING RECONSIDERATION OF BOND FOR GENERAL SESSIONS OFFENSES SET BY A SUMMARY COURT JUDGE; TO PROVIDE THAT FURTHER DEFENSE MOTIONS TO RECONSIDER BOND MAY BE HEARD BY THE CIRCUIT COURT ONLY UPON THE DEFENDANT’S PRIMA FACIE SHOWING OF A MATERIAL CHANGE IN CIRCUMSTANCE; TO PROVIDE THAT MOTIONS BY THE STATE TO REVOKE OR MODIFY A DEFENDANT’S BOND MUST BE MADE IN WRITING, STATE WITH PARTICULARITY THE GROUNDS FOR REVOCATION OR MODIFICATION, AND SET FORTH THE RELIEF OR ORDER SOUGHT; AND TO PROVIDE THAT, IF THE STATE’S MOTION TO REVOKE OR MODIFY BOND INCLUDES A PRIMA FACIE SHOWING OF IMMINENT DANGER TO THE COMMUNITY, OR IMMINENT DANGER TO THE DEFENDANT OR FLIGHT BY THE DEFENDANT, THE CHIEF JUDGE OR PRESIDING JUDGE SHALL CONDUCT OR ORDER AN EMERGENCY HEARING WITHIN FORTY</w:t>
      </w:r>
      <w:r w:rsidRPr="005C1621">
        <w:rPr>
          <w:rFonts w:eastAsia="Times New Roman"/>
          <w:color w:val="000000" w:themeColor="text1"/>
          <w:u w:color="000000" w:themeColor="text1"/>
        </w:rPr>
        <w:noBreakHyphen/>
        <w:t>EIGHT HOURS.</w:t>
      </w:r>
    </w:p>
    <w:p w:rsidR="005262CF" w:rsidRDefault="005262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62CF" w:rsidRDefault="005262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62CF" w:rsidRDefault="005262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5C1621">
        <w:rPr>
          <w:rFonts w:eastAsia="Times New Roman"/>
          <w:color w:val="000000" w:themeColor="text1"/>
          <w:u w:color="000000" w:themeColor="text1"/>
        </w:rPr>
        <w:t>1.</w:t>
      </w:r>
      <w:r>
        <w:rPr>
          <w:rFonts w:eastAsia="Times New Roman"/>
          <w:color w:val="000000" w:themeColor="text1"/>
          <w:u w:color="000000" w:themeColor="text1"/>
        </w:rPr>
        <w:tab/>
      </w:r>
      <w:r w:rsidRPr="005C1621">
        <w:rPr>
          <w:rFonts w:eastAsia="Times New Roman"/>
          <w:color w:val="000000" w:themeColor="text1"/>
          <w:u w:color="000000" w:themeColor="text1"/>
        </w:rPr>
        <w:t>Chapter 15, Title 17 of the 1976 Code is amended by adding:</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ab/>
        <w:t>“Section 17</w:t>
      </w:r>
      <w:r w:rsidRPr="005C1621">
        <w:rPr>
          <w:rFonts w:eastAsia="Times New Roman"/>
          <w:color w:val="000000" w:themeColor="text1"/>
          <w:u w:color="000000" w:themeColor="text1"/>
        </w:rPr>
        <w:noBreakHyphen/>
        <w:t>15</w:t>
      </w:r>
      <w:r w:rsidRPr="005C1621">
        <w:rPr>
          <w:rFonts w:eastAsia="Times New Roman"/>
          <w:color w:val="000000" w:themeColor="text1"/>
          <w:u w:color="000000" w:themeColor="text1"/>
        </w:rPr>
        <w:noBreakHyphen/>
      </w:r>
      <w:r>
        <w:rPr>
          <w:rFonts w:eastAsia="Times New Roman"/>
          <w:color w:val="000000" w:themeColor="text1"/>
          <w:u w:color="000000" w:themeColor="text1"/>
        </w:rPr>
        <w:t>55.</w:t>
      </w:r>
      <w:r>
        <w:rPr>
          <w:rFonts w:eastAsia="Times New Roman"/>
          <w:color w:val="000000" w:themeColor="text1"/>
          <w:u w:color="000000" w:themeColor="text1"/>
        </w:rPr>
        <w:tab/>
      </w:r>
      <w:r w:rsidRPr="005C1621">
        <w:rPr>
          <w:rFonts w:eastAsia="Times New Roman"/>
          <w:color w:val="000000" w:themeColor="text1"/>
          <w:u w:color="000000" w:themeColor="text1"/>
        </w:rPr>
        <w:t>(A)(1)</w:t>
      </w:r>
      <w:r>
        <w:rPr>
          <w:rFonts w:eastAsia="Times New Roman"/>
          <w:color w:val="000000" w:themeColor="text1"/>
          <w:u w:color="000000" w:themeColor="text1"/>
        </w:rPr>
        <w:tab/>
      </w:r>
      <w:r w:rsidRPr="005C1621">
        <w:rPr>
          <w:rFonts w:eastAsia="Times New Roman"/>
          <w:color w:val="000000" w:themeColor="text1"/>
          <w:u w:color="000000" w:themeColor="text1"/>
        </w:rPr>
        <w:t xml:space="preserve">The circuit court shall consider motions regarding reconsideration of bond for general sessions offenses set by a summary court judge upon a motion filed with the clerk of court.  Hearing of these motions must be scheduled by the solicitor.  The rules of evidence do not apply to bond hearings. </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ab/>
      </w:r>
      <w:r w:rsidRPr="005C1621">
        <w:rPr>
          <w:rFonts w:eastAsia="Times New Roman"/>
          <w:color w:val="000000" w:themeColor="text1"/>
          <w:u w:color="000000" w:themeColor="text1"/>
        </w:rPr>
        <w:tab/>
        <w:t>(2)</w:t>
      </w:r>
      <w:r>
        <w:rPr>
          <w:rFonts w:eastAsia="Times New Roman"/>
          <w:color w:val="000000" w:themeColor="text1"/>
          <w:u w:color="000000" w:themeColor="text1"/>
        </w:rPr>
        <w:tab/>
      </w:r>
      <w:r w:rsidRPr="005C1621">
        <w:rPr>
          <w:rFonts w:eastAsia="Times New Roman"/>
          <w:color w:val="000000" w:themeColor="text1"/>
          <w:u w:color="000000" w:themeColor="text1"/>
        </w:rPr>
        <w:t xml:space="preserve">After a circuit court judge has heard and ruled upon a defendant’s motion to reconsider a bond set by a summary court judge, further defense motions to reconsider may be heard by the circuit court only upon the defendant’s </w:t>
      </w:r>
      <w:r w:rsidRPr="005C1621">
        <w:rPr>
          <w:rFonts w:eastAsia="Times New Roman"/>
          <w:iCs/>
          <w:color w:val="000000" w:themeColor="text1"/>
          <w:u w:color="000000" w:themeColor="text1"/>
        </w:rPr>
        <w:t xml:space="preserve">prima facie </w:t>
      </w:r>
      <w:r w:rsidRPr="005C1621">
        <w:rPr>
          <w:rFonts w:eastAsia="Times New Roman"/>
          <w:color w:val="000000" w:themeColor="text1"/>
          <w:u w:color="000000" w:themeColor="text1"/>
        </w:rPr>
        <w:t>showing of a material change in circumstance which relates to the factors set forth in Section 17</w:t>
      </w:r>
      <w:r w:rsidRPr="005C1621">
        <w:rPr>
          <w:rFonts w:eastAsia="Times New Roman"/>
          <w:color w:val="000000" w:themeColor="text1"/>
          <w:u w:color="000000" w:themeColor="text1"/>
        </w:rPr>
        <w:noBreakHyphen/>
        <w:t>15</w:t>
      </w:r>
      <w:r w:rsidRPr="005C1621">
        <w:rPr>
          <w:rFonts w:eastAsia="Times New Roman"/>
          <w:color w:val="000000" w:themeColor="text1"/>
          <w:u w:color="000000" w:themeColor="text1"/>
        </w:rPr>
        <w:noBreakHyphen/>
        <w:t xml:space="preserve">30, and which has arisen since the prior motion to reconsider.  The chief judge shall schedule a hearing, or, if such showing is not set forth in the written motion, deny the motion for failure to make a </w:t>
      </w:r>
      <w:r w:rsidRPr="005C1621">
        <w:rPr>
          <w:rFonts w:eastAsia="Times New Roman"/>
          <w:iCs/>
          <w:color w:val="000000" w:themeColor="text1"/>
          <w:u w:color="000000" w:themeColor="text1"/>
        </w:rPr>
        <w:t xml:space="preserve">prima facie </w:t>
      </w:r>
      <w:r w:rsidRPr="005C1621">
        <w:rPr>
          <w:rFonts w:eastAsia="Times New Roman"/>
          <w:color w:val="000000" w:themeColor="text1"/>
          <w:u w:color="000000" w:themeColor="text1"/>
        </w:rPr>
        <w:t xml:space="preserve">showing of a material change in circumstance.  Information regarding the defendant’s guilt or innocence does not qualify as a change in circumstance for purposes of reconsidering bond absent consent of the solicitor. </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ab/>
        <w:t>(B)(1)</w:t>
      </w:r>
      <w:r>
        <w:rPr>
          <w:rFonts w:eastAsia="Times New Roman"/>
          <w:color w:val="000000" w:themeColor="text1"/>
          <w:u w:color="000000" w:themeColor="text1"/>
        </w:rPr>
        <w:tab/>
      </w:r>
      <w:r w:rsidRPr="005C1621">
        <w:rPr>
          <w:rFonts w:eastAsia="Times New Roman"/>
          <w:color w:val="000000" w:themeColor="text1"/>
          <w:u w:color="000000" w:themeColor="text1"/>
        </w:rPr>
        <w:t xml:space="preserve">Motions by the State to revoke or modify a defendant’s bond must be made in writing, state with particularity the grounds for revocation or modification, and set forth the relief or order sought.  The motion must be filed with the clerk of court, and a copy must be served on the chief judge, defense counsel, and bond surety, if any. </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C1621">
        <w:rPr>
          <w:rFonts w:eastAsia="Times New Roman"/>
          <w:color w:val="000000" w:themeColor="text1"/>
          <w:u w:color="000000" w:themeColor="text1"/>
        </w:rPr>
        <w:tab/>
      </w:r>
      <w:r w:rsidRPr="005C1621">
        <w:rPr>
          <w:rFonts w:eastAsia="Times New Roman"/>
          <w:color w:val="000000" w:themeColor="text1"/>
          <w:u w:color="000000" w:themeColor="text1"/>
        </w:rPr>
        <w:tab/>
        <w:t>(2</w:t>
      </w:r>
      <w:r>
        <w:rPr>
          <w:rFonts w:eastAsia="Times New Roman"/>
          <w:color w:val="000000" w:themeColor="text1"/>
          <w:u w:color="000000" w:themeColor="text1"/>
        </w:rPr>
        <w:t>)</w:t>
      </w:r>
      <w:r>
        <w:rPr>
          <w:rFonts w:eastAsia="Times New Roman"/>
          <w:color w:val="000000" w:themeColor="text1"/>
          <w:u w:color="000000" w:themeColor="text1"/>
        </w:rPr>
        <w:tab/>
      </w:r>
      <w:r w:rsidRPr="005C1621">
        <w:rPr>
          <w:rFonts w:eastAsia="Times New Roman"/>
          <w:color w:val="000000" w:themeColor="text1"/>
          <w:u w:color="000000" w:themeColor="text1"/>
        </w:rPr>
        <w:t xml:space="preserve">If the State’s motion to revoke or modify bond includes a </w:t>
      </w:r>
      <w:r w:rsidRPr="005C1621">
        <w:rPr>
          <w:rFonts w:eastAsia="Times New Roman"/>
          <w:iCs/>
          <w:color w:val="000000" w:themeColor="text1"/>
          <w:u w:color="000000" w:themeColor="text1"/>
        </w:rPr>
        <w:t xml:space="preserve">prima facie </w:t>
      </w:r>
      <w:r w:rsidRPr="005C1621">
        <w:rPr>
          <w:rFonts w:eastAsia="Times New Roman"/>
          <w:color w:val="000000" w:themeColor="text1"/>
          <w:u w:color="000000" w:themeColor="text1"/>
        </w:rPr>
        <w:t>showing of imminent danger to the community, or imminent danger to the defendant or flight by the defendant, the chief judge or presiding judge shall conduct or order an emergency bond hearing to be conducted by the circuit court or a designee, including a summary court judge, within forty</w:t>
      </w:r>
      <w:r w:rsidRPr="005C1621">
        <w:rPr>
          <w:rFonts w:eastAsia="Times New Roman"/>
          <w:color w:val="000000" w:themeColor="text1"/>
          <w:u w:color="000000" w:themeColor="text1"/>
        </w:rPr>
        <w:noBreakHyphen/>
        <w:t>eight hours of receiving service of the State’s motion.  The chief judge shall order the solicitor to notify the defense counsel and bond surety of the time and date of the hearing, and the solicitor must provide proof that reasonable efforts were made to affect such notice.  Upon notice by the State, the defense counsel and bond surety must make reasonable efforts to notify the defendant of the emergency hearing and secure the defendant’s presence at the hearing.  The court may, in its discretion,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5C1621">
        <w:rPr>
          <w:rFonts w:eastAsia="Times New Roman"/>
          <w:color w:val="000000" w:themeColor="text1"/>
          <w:u w:color="000000" w:themeColor="text1"/>
        </w:rPr>
        <w:noBreakHyphen/>
        <w:t>53</w:t>
      </w:r>
      <w:r w:rsidRPr="005C1621">
        <w:rPr>
          <w:rFonts w:eastAsia="Times New Roman"/>
          <w:color w:val="000000" w:themeColor="text1"/>
          <w:u w:color="000000" w:themeColor="text1"/>
        </w:rPr>
        <w:noBreakHyphen/>
        <w:t>50(b).  If an emergency bond hearing is held without the presence of the defendant or defense counsel, and bond is revoked, the judge having heard the matter, in his discretion, may conduct a hearing on the defendant’s motion to reconsider the revocation.  Such defense motions to reconsider revocation must be filed with the clerk of court and served on the solicitor and bond surety.”</w:t>
      </w:r>
    </w:p>
    <w:p w:rsidR="006E6B7E" w:rsidRPr="005C1621"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6E6B7E" w:rsidRDefault="006E6B7E" w:rsidP="006E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Pr="005C1621">
        <w:rPr>
          <w:rFonts w:eastAsia="Times New Roman"/>
          <w:color w:val="000000" w:themeColor="text1"/>
          <w:u w:color="000000" w:themeColor="text1"/>
        </w:rPr>
        <w:t>This act takes effect upon approval by the Governor.</w:t>
      </w:r>
    </w:p>
    <w:p w:rsidR="002D29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D29E6" w:rsidRDefault="002D29E6" w:rsidP="00B7298C">
      <w:pPr>
        <w:suppressAutoHyphens/>
        <w:jc w:val="both"/>
        <w:rPr>
          <w:rFonts w:eastAsia="Times New Roman"/>
        </w:rPr>
      </w:pPr>
    </w:p>
    <w:sectPr w:rsidR="002D29E6" w:rsidSect="00B7298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2CF" w:rsidRDefault="005262CF" w:rsidP="00522CE0">
      <w:r>
        <w:separator/>
      </w:r>
    </w:p>
  </w:endnote>
  <w:endnote w:type="continuationSeparator" w:id="0">
    <w:p w:rsidR="005262CF" w:rsidRDefault="005262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102DD5-3473-41D5-A28C-7AC0B0503108}"/>
    <w:embedBold r:id="rId2" w:fontKey="{BED7C001-3747-494F-9B24-D82B897BAA4E}"/>
    <w:embedItalic r:id="rId3" w:fontKey="{BCD55EB0-BF4A-437B-BD1D-EFC929183521}"/>
  </w:font>
  <w:font w:name="Calibri">
    <w:panose1 w:val="020F0502020204030204"/>
    <w:charset w:val="00"/>
    <w:family w:val="swiss"/>
    <w:pitch w:val="variable"/>
    <w:sig w:usb0="E10002FF" w:usb1="4000ACFF" w:usb2="00000009" w:usb3="00000000" w:csb0="0000019F" w:csb1="00000000"/>
    <w:embedRegular r:id="rId4" w:fontKey="{93F0060C-1031-4847-837C-37C4A1F1F9F0}"/>
    <w:embedBold r:id="rId5" w:fontKey="{204723E2-D1A9-43B3-85CD-35D00E0DD73C}"/>
  </w:font>
  <w:font w:name="Cambria">
    <w:panose1 w:val="02040503050406030204"/>
    <w:charset w:val="00"/>
    <w:family w:val="roman"/>
    <w:pitch w:val="variable"/>
    <w:sig w:usb0="E00002FF" w:usb1="400004FF" w:usb2="00000000" w:usb3="00000000" w:csb0="0000019F" w:csb1="00000000"/>
    <w:embedRegular r:id="rId6" w:fontKey="{1051AC53-18D3-4D82-80FD-825CFD5BC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98C" w:rsidRPr="002D29E6" w:rsidRDefault="00B7298C" w:rsidP="002D29E6">
    <w:pPr>
      <w:pStyle w:val="Footer"/>
      <w:tabs>
        <w:tab w:val="clear" w:pos="4680"/>
        <w:tab w:val="clear" w:pos="9360"/>
        <w:tab w:val="center" w:pos="2995"/>
      </w:tabs>
      <w:spacing w:before="120"/>
    </w:pPr>
    <w:r>
      <w:t>[266]</w:t>
    </w:r>
    <w:r>
      <w:tab/>
    </w:r>
    <w:r w:rsidR="001110D7">
      <w:fldChar w:fldCharType="begin"/>
    </w:r>
    <w:r w:rsidR="001110D7">
      <w:instrText xml:space="preserve"> PAGE  \* MERGEFORMAT </w:instrText>
    </w:r>
    <w:r w:rsidR="001110D7">
      <w:fldChar w:fldCharType="separate"/>
    </w:r>
    <w:r w:rsidR="001110D7">
      <w:rPr>
        <w:noProof/>
      </w:rPr>
      <w:t>1</w:t>
    </w:r>
    <w:r w:rsidR="001110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2CF" w:rsidRDefault="005262CF" w:rsidP="00522CE0">
      <w:r>
        <w:separator/>
      </w:r>
    </w:p>
  </w:footnote>
  <w:footnote w:type="continuationSeparator" w:id="0">
    <w:p w:rsidR="005262CF" w:rsidRDefault="005262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051.JJG"/>
    <w:docVar w:name="CoverAttorneyInitials" w:val="JJG"/>
    <w:docVar w:name="CoverAttorneyLastName" w:val="Gentry"/>
    <w:docVar w:name="CoverBillType" w:val="b"/>
    <w:docVar w:name="DraftFileName" w:val="JUD0051.JJG.DOCX"/>
    <w:docVar w:name="DraftStenoName" w:val="Craft"/>
    <w:docVar w:name="dvBillNumber" w:val="266"/>
    <w:docVar w:name="dvBillNumberPrefix" w:val="S. "/>
    <w:docVar w:name="dvOriginalBody" w:val="Senate"/>
    <w:docVar w:name="fulldraftpath" w:val="L:\S-JUD\BILLS\McConnell\JUD0051.JJG.DOCX"/>
    <w:docVar w:name="NameofBody" w:val="S"/>
    <w:docVar w:name="SenatorFolderName" w:val="McConnell"/>
    <w:docVar w:name="VGROUP2" w:val="S-JUD"/>
  </w:docVars>
  <w:rsids>
    <w:rsidRoot w:val="003645A5"/>
    <w:rsid w:val="000141EB"/>
    <w:rsid w:val="00042AC1"/>
    <w:rsid w:val="00046516"/>
    <w:rsid w:val="000A4D08"/>
    <w:rsid w:val="000A6988"/>
    <w:rsid w:val="000B0720"/>
    <w:rsid w:val="000B5EAF"/>
    <w:rsid w:val="000E473B"/>
    <w:rsid w:val="000F002B"/>
    <w:rsid w:val="00107C3D"/>
    <w:rsid w:val="001110D7"/>
    <w:rsid w:val="00126995"/>
    <w:rsid w:val="0016543B"/>
    <w:rsid w:val="00170561"/>
    <w:rsid w:val="00186AC9"/>
    <w:rsid w:val="00190F47"/>
    <w:rsid w:val="00197DF1"/>
    <w:rsid w:val="001A3CB7"/>
    <w:rsid w:val="001B3DD9"/>
    <w:rsid w:val="001D3BAC"/>
    <w:rsid w:val="00206D3D"/>
    <w:rsid w:val="0024519E"/>
    <w:rsid w:val="00245C4E"/>
    <w:rsid w:val="00251B83"/>
    <w:rsid w:val="002C3BB2"/>
    <w:rsid w:val="002C5896"/>
    <w:rsid w:val="002D29E6"/>
    <w:rsid w:val="00305BFF"/>
    <w:rsid w:val="00307C2B"/>
    <w:rsid w:val="0031409E"/>
    <w:rsid w:val="00333DF1"/>
    <w:rsid w:val="0033541C"/>
    <w:rsid w:val="00356BB3"/>
    <w:rsid w:val="00364389"/>
    <w:rsid w:val="003645A5"/>
    <w:rsid w:val="003B7DD5"/>
    <w:rsid w:val="003D3A42"/>
    <w:rsid w:val="003D6A5D"/>
    <w:rsid w:val="003D6E2B"/>
    <w:rsid w:val="003E7597"/>
    <w:rsid w:val="00412C9E"/>
    <w:rsid w:val="004154C0"/>
    <w:rsid w:val="00450668"/>
    <w:rsid w:val="00452CD7"/>
    <w:rsid w:val="00477696"/>
    <w:rsid w:val="00493DAF"/>
    <w:rsid w:val="004952FA"/>
    <w:rsid w:val="004968A0"/>
    <w:rsid w:val="004A344C"/>
    <w:rsid w:val="004A592F"/>
    <w:rsid w:val="004B6A22"/>
    <w:rsid w:val="004D168C"/>
    <w:rsid w:val="004D6923"/>
    <w:rsid w:val="004D7F37"/>
    <w:rsid w:val="004E649D"/>
    <w:rsid w:val="0051584C"/>
    <w:rsid w:val="00520D79"/>
    <w:rsid w:val="00521C7F"/>
    <w:rsid w:val="00522CE0"/>
    <w:rsid w:val="005262CF"/>
    <w:rsid w:val="00541FF6"/>
    <w:rsid w:val="00554EFE"/>
    <w:rsid w:val="00565148"/>
    <w:rsid w:val="0056744A"/>
    <w:rsid w:val="00581497"/>
    <w:rsid w:val="00586B30"/>
    <w:rsid w:val="0058748C"/>
    <w:rsid w:val="00593361"/>
    <w:rsid w:val="005A5017"/>
    <w:rsid w:val="005A648C"/>
    <w:rsid w:val="005F15E4"/>
    <w:rsid w:val="00606D23"/>
    <w:rsid w:val="00641A16"/>
    <w:rsid w:val="006431BA"/>
    <w:rsid w:val="006B4B3C"/>
    <w:rsid w:val="006C74EA"/>
    <w:rsid w:val="006E6B7E"/>
    <w:rsid w:val="007039E9"/>
    <w:rsid w:val="00720D40"/>
    <w:rsid w:val="007318D4"/>
    <w:rsid w:val="00746551"/>
    <w:rsid w:val="00765784"/>
    <w:rsid w:val="007A4390"/>
    <w:rsid w:val="007C65B0"/>
    <w:rsid w:val="007E3B8F"/>
    <w:rsid w:val="007E42C8"/>
    <w:rsid w:val="007E5CB7"/>
    <w:rsid w:val="00823E26"/>
    <w:rsid w:val="008314D2"/>
    <w:rsid w:val="008804AE"/>
    <w:rsid w:val="008B2F42"/>
    <w:rsid w:val="008E185F"/>
    <w:rsid w:val="008E5870"/>
    <w:rsid w:val="008F023B"/>
    <w:rsid w:val="008F7524"/>
    <w:rsid w:val="00904E16"/>
    <w:rsid w:val="00927C62"/>
    <w:rsid w:val="00931A96"/>
    <w:rsid w:val="00967910"/>
    <w:rsid w:val="00983951"/>
    <w:rsid w:val="00984124"/>
    <w:rsid w:val="00984640"/>
    <w:rsid w:val="00995C37"/>
    <w:rsid w:val="009B3C89"/>
    <w:rsid w:val="009B661F"/>
    <w:rsid w:val="009C118A"/>
    <w:rsid w:val="00A02011"/>
    <w:rsid w:val="00A35165"/>
    <w:rsid w:val="00A4011E"/>
    <w:rsid w:val="00A86015"/>
    <w:rsid w:val="00AE59C8"/>
    <w:rsid w:val="00B030B6"/>
    <w:rsid w:val="00B10098"/>
    <w:rsid w:val="00B10E10"/>
    <w:rsid w:val="00B35389"/>
    <w:rsid w:val="00B450FF"/>
    <w:rsid w:val="00B7298C"/>
    <w:rsid w:val="00B945C5"/>
    <w:rsid w:val="00B955BE"/>
    <w:rsid w:val="00BA20EA"/>
    <w:rsid w:val="00BC0A56"/>
    <w:rsid w:val="00C23348"/>
    <w:rsid w:val="00C6454A"/>
    <w:rsid w:val="00C74052"/>
    <w:rsid w:val="00CB187A"/>
    <w:rsid w:val="00CD7C71"/>
    <w:rsid w:val="00D025BF"/>
    <w:rsid w:val="00D1088B"/>
    <w:rsid w:val="00D13412"/>
    <w:rsid w:val="00D156D2"/>
    <w:rsid w:val="00D17EAC"/>
    <w:rsid w:val="00D77EC0"/>
    <w:rsid w:val="00D86943"/>
    <w:rsid w:val="00DA0AD7"/>
    <w:rsid w:val="00DA47B9"/>
    <w:rsid w:val="00E00AD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 w:val="00FF7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0C09CF3B-5698-40F7-8C4E-679BECE3A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729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66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796</Words>
  <Characters>4112</Characters>
  <Application>Microsoft Office Word</Application>
  <DocSecurity>4</DocSecurity>
  <Lines>122</Lines>
  <Paragraphs>30</Paragraphs>
  <ScaleCrop>false</ScaleCrop>
  <Company> </Company>
  <LinksUpToDate>false</LinksUpToDate>
  <CharactersWithSpaces>4903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266: Circuit court - South Carolina Legislature Online</dc:title>
  <dc:subject/>
  <dc:creator>SusanCraft</dc:creator>
  <cp:keywords/>
  <dc:description/>
  <cp:lastModifiedBy>N Cumfer</cp:lastModifiedBy>
  <cp:revision>2</cp:revision>
  <dcterms:created xsi:type="dcterms:W3CDTF">2014-11-21T20:33:00Z</dcterms:created>
  <dcterms:modified xsi:type="dcterms:W3CDTF">2014-11-21T20:33:00Z</dcterms:modified>
</cp:coreProperties>
</file>