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E399C">
        <w:rPr>
          <w:rFonts w:eastAsia="Times New Roman" w:cs="Times New Roman"/>
          <w:b/>
          <w:szCs w:val="20"/>
        </w:rPr>
        <w:t>South Carolina General Assembly</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E399C">
        <w:rPr>
          <w:rFonts w:eastAsia="Times New Roman" w:cs="Times New Roman"/>
          <w:szCs w:val="20"/>
        </w:rPr>
        <w:t>119th Session, 2011-2012</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399C" w:rsidRPr="008E399C" w:rsidRDefault="004A762E"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A52, R86, H3375</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399C">
        <w:rPr>
          <w:rFonts w:eastAsia="Times New Roman" w:cs="Times New Roman"/>
          <w:b/>
          <w:szCs w:val="20"/>
        </w:rPr>
        <w:t>STATUS INFORMATION</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399C">
        <w:rPr>
          <w:rFonts w:eastAsia="Times New Roman" w:cs="Times New Roman"/>
          <w:szCs w:val="20"/>
        </w:rPr>
        <w:t>General Bill</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399C">
        <w:rPr>
          <w:rFonts w:eastAsia="Times New Roman" w:cs="Times New Roman"/>
          <w:szCs w:val="20"/>
        </w:rPr>
        <w:t>Sponsors: Reps. Harrell, Lucas, Cooper, Hardwick, Harrison, Owens, Sandifer, White, Bingham, Atwater, Parker, Crawford, Loftis, Bowen, G.R. Smith, Bedingfield, Toole, Sottile, V.S. Moss, Forrester, Bikas, Huggins, Brady, Allison, Pinson, Frye, Whitmire, Skelton, Nanney, Henderson, Limehouse, Corbin, Barfield, Battle, Clemmons, Cole, Crosby, Daning, Gambrell, Hamilton, Hiott, Hixon, Horne, Lowe, D.C. Moss, Murphy, Norman, Patrick, Simrill, G.M. Smith, J.R. Smith, Spires, Taylor, Willis, Young, Herbkersman, Ballentine, Thayer, Bannister, McCoy, Tallon, Stringer, Long, Hayes, Ott, J.M. Neal, Vick, G.A. Brown, Branham, Anthony, Bowers, Sellers, Quinn, Hearn, Edge, Anderson, Erickson, Knight, Chumley, Butler Garrick and Bales</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399C">
        <w:rPr>
          <w:rFonts w:eastAsia="Times New Roman" w:cs="Times New Roman"/>
          <w:szCs w:val="20"/>
        </w:rPr>
        <w:t>Document Path: l:\council\bills\ms\7075ahb11.docx</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399C">
        <w:rPr>
          <w:rFonts w:eastAsia="Times New Roman" w:cs="Times New Roman"/>
          <w:szCs w:val="20"/>
        </w:rPr>
        <w:t>Companion/Similar bill(s): 22, 23</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401F" w:rsidRDefault="000C401F"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2011</w:t>
      </w:r>
    </w:p>
    <w:p w:rsidR="000C401F" w:rsidRDefault="000C401F"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2011</w:t>
      </w:r>
    </w:p>
    <w:p w:rsidR="000C401F" w:rsidRDefault="000C401F"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2011</w:t>
      </w:r>
    </w:p>
    <w:p w:rsidR="000C401F" w:rsidRDefault="000C401F"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2011</w:t>
      </w:r>
    </w:p>
    <w:p w:rsidR="000C401F" w:rsidRDefault="000C401F"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Signed</w:t>
      </w:r>
    </w:p>
    <w:p w:rsidR="000C401F" w:rsidRDefault="000C401F"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399C">
        <w:rPr>
          <w:rFonts w:eastAsia="Times New Roman" w:cs="Times New Roman"/>
          <w:szCs w:val="20"/>
        </w:rPr>
        <w:t>Summary: S.C. Fairness in Civil Justice Act</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399C" w:rsidRPr="008E399C" w:rsidRDefault="008E399C" w:rsidP="008E399C">
      <w:pPr>
        <w:widowControl w:val="0"/>
        <w:tabs>
          <w:tab w:val="center" w:pos="590"/>
          <w:tab w:val="center" w:pos="1440"/>
          <w:tab w:val="left" w:pos="1872"/>
          <w:tab w:val="left" w:pos="9187"/>
        </w:tabs>
        <w:rPr>
          <w:rFonts w:eastAsia="Times New Roman" w:cs="Times New Roman"/>
          <w:szCs w:val="20"/>
        </w:rPr>
      </w:pPr>
      <w:r w:rsidRPr="008E399C">
        <w:rPr>
          <w:rFonts w:eastAsia="Times New Roman" w:cs="Times New Roman"/>
          <w:b/>
          <w:szCs w:val="20"/>
        </w:rPr>
        <w:t>HISTORY OF LEGISLATIVE ACTIONS</w:t>
      </w:r>
    </w:p>
    <w:p w:rsidR="008E399C" w:rsidRPr="008E399C" w:rsidRDefault="008E399C" w:rsidP="008E399C">
      <w:pPr>
        <w:widowControl w:val="0"/>
        <w:tabs>
          <w:tab w:val="center" w:pos="590"/>
          <w:tab w:val="center" w:pos="1440"/>
          <w:tab w:val="left" w:pos="1872"/>
          <w:tab w:val="left" w:pos="9187"/>
        </w:tabs>
        <w:rPr>
          <w:rFonts w:eastAsia="Times New Roman" w:cs="Times New Roman"/>
          <w:szCs w:val="20"/>
        </w:rPr>
      </w:pPr>
    </w:p>
    <w:p w:rsidR="008E399C" w:rsidRPr="008E399C" w:rsidRDefault="008E399C" w:rsidP="008E399C">
      <w:pPr>
        <w:widowControl w:val="0"/>
        <w:tabs>
          <w:tab w:val="center" w:pos="590"/>
          <w:tab w:val="center" w:pos="1440"/>
          <w:tab w:val="left" w:pos="1872"/>
          <w:tab w:val="left" w:pos="9187"/>
        </w:tabs>
        <w:rPr>
          <w:rFonts w:eastAsia="Times New Roman" w:cs="Times New Roman"/>
          <w:szCs w:val="20"/>
        </w:rPr>
      </w:pPr>
      <w:r w:rsidRPr="008E399C">
        <w:rPr>
          <w:rFonts w:eastAsia="Times New Roman" w:cs="Times New Roman"/>
          <w:szCs w:val="20"/>
          <w:u w:val="single"/>
        </w:rPr>
        <w:tab/>
        <w:t>Date</w:t>
      </w:r>
      <w:r w:rsidRPr="008E399C">
        <w:rPr>
          <w:rFonts w:eastAsia="Times New Roman" w:cs="Times New Roman"/>
          <w:szCs w:val="20"/>
          <w:u w:val="single"/>
        </w:rPr>
        <w:tab/>
        <w:t>Body</w:t>
      </w:r>
      <w:r w:rsidRPr="008E399C">
        <w:rPr>
          <w:rFonts w:eastAsia="Times New Roman" w:cs="Times New Roman"/>
          <w:szCs w:val="20"/>
          <w:u w:val="single"/>
        </w:rPr>
        <w:tab/>
        <w:t>Action Description with journal page number</w:t>
      </w:r>
      <w:r w:rsidRPr="008E399C">
        <w:rPr>
          <w:rFonts w:eastAsia="Times New Roman" w:cs="Times New Roman"/>
          <w:szCs w:val="20"/>
          <w:u w:val="single"/>
        </w:rPr>
        <w:tab/>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5E26D6">
        <w:rPr>
          <w:rFonts w:cs="Times New Roman"/>
        </w:rPr>
        <w:t>Introduced and read first time (</w:t>
      </w:r>
      <w:hyperlink r:id="rId7" w:history="1">
        <w:r w:rsidRPr="005E26D6">
          <w:rPr>
            <w:rStyle w:val="Hyperlink"/>
            <w:rFonts w:cs="Times New Roman"/>
          </w:rPr>
          <w:t>House Journal</w:t>
        </w:r>
        <w:r w:rsidRPr="005E26D6">
          <w:rPr>
            <w:rStyle w:val="Hyperlink"/>
            <w:rFonts w:cs="Times New Roman"/>
          </w:rPr>
          <w:noBreakHyphen/>
          <w:t>page 12</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5E26D6">
        <w:rPr>
          <w:rFonts w:cs="Times New Roman"/>
        </w:rPr>
        <w:t>Ref</w:t>
      </w:r>
      <w:r>
        <w:rPr>
          <w:rFonts w:cs="Times New Roman"/>
        </w:rPr>
        <w:t xml:space="preserve">erred to Committee on </w:t>
      </w:r>
      <w:r w:rsidRPr="005E26D6">
        <w:rPr>
          <w:rFonts w:cs="Times New Roman"/>
          <w:b/>
        </w:rPr>
        <w:t>Judiciary</w:t>
      </w:r>
      <w:r>
        <w:rPr>
          <w:rFonts w:cs="Times New Roman"/>
        </w:rPr>
        <w:t xml:space="preserve"> </w:t>
      </w:r>
      <w:r w:rsidRPr="005E26D6">
        <w:rPr>
          <w:rFonts w:cs="Times New Roman"/>
        </w:rPr>
        <w:t>(</w:t>
      </w:r>
      <w:hyperlink r:id="rId8" w:history="1">
        <w:r w:rsidRPr="005E26D6">
          <w:rPr>
            <w:rStyle w:val="Hyperlink"/>
            <w:rFonts w:cs="Times New Roman"/>
          </w:rPr>
          <w:t>House Journal</w:t>
        </w:r>
        <w:r w:rsidRPr="005E26D6">
          <w:rPr>
            <w:rStyle w:val="Hyperlink"/>
            <w:rFonts w:cs="Times New Roman"/>
          </w:rPr>
          <w:noBreakHyphen/>
          <w:t>page 12</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5E26D6">
        <w:rPr>
          <w:rFonts w:cs="Times New Roman"/>
        </w:rPr>
        <w:t>Member(s) request name added as sponsor: Herbkersman</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5E26D6">
        <w:rPr>
          <w:rFonts w:cs="Times New Roman"/>
        </w:rPr>
        <w:t>Member(s)</w:t>
      </w:r>
      <w:r>
        <w:rPr>
          <w:rFonts w:cs="Times New Roman"/>
        </w:rPr>
        <w:t xml:space="preserve"> request name added as sponsor: </w:t>
      </w:r>
      <w:r w:rsidRPr="005E26D6">
        <w:rPr>
          <w:rFonts w:cs="Times New Roman"/>
        </w:rPr>
        <w:t>Ballentine, Thayer, Bannister</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5E26D6">
        <w:rPr>
          <w:rFonts w:cs="Times New Roman"/>
        </w:rPr>
        <w:t>Member(s) request name added as sponsor: McCoy,</w:t>
      </w:r>
      <w:r>
        <w:rPr>
          <w:rFonts w:cs="Times New Roman"/>
        </w:rPr>
        <w:t xml:space="preserve"> </w:t>
      </w:r>
      <w:r w:rsidRPr="005E26D6">
        <w:rPr>
          <w:rFonts w:cs="Times New Roman"/>
        </w:rPr>
        <w:t>Tallon, Stringer, Long, Hayes</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5E26D6">
        <w:rPr>
          <w:rFonts w:cs="Times New Roman"/>
        </w:rPr>
        <w:t>Member(s) requ</w:t>
      </w:r>
      <w:r>
        <w:rPr>
          <w:rFonts w:cs="Times New Roman"/>
        </w:rPr>
        <w:t xml:space="preserve">est name added as sponsor: Ott, </w:t>
      </w:r>
      <w:r w:rsidRPr="005E26D6">
        <w:rPr>
          <w:rFonts w:cs="Times New Roman"/>
        </w:rPr>
        <w:t>J.M.Neal, Vick, G.A.Brown, Branham, Anthony, Bowers</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5E26D6">
        <w:rPr>
          <w:rFonts w:cs="Times New Roman"/>
        </w:rPr>
        <w:t>Member(s) request name added as sponsor: Sellers</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E26D6">
        <w:rPr>
          <w:rFonts w:cs="Times New Roman"/>
        </w:rPr>
        <w:t>Member(s) request name added as sponsor: Quinn, Hearn</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E26D6">
        <w:rPr>
          <w:rFonts w:cs="Times New Roman"/>
        </w:rPr>
        <w:t>Commit</w:t>
      </w:r>
      <w:r>
        <w:rPr>
          <w:rFonts w:cs="Times New Roman"/>
        </w:rPr>
        <w:t xml:space="preserve">tee report: Favorable </w:t>
      </w:r>
      <w:r w:rsidRPr="005E26D6">
        <w:rPr>
          <w:rFonts w:cs="Times New Roman"/>
          <w:b/>
        </w:rPr>
        <w:t>Judiciary</w:t>
      </w:r>
      <w:r>
        <w:rPr>
          <w:rFonts w:cs="Times New Roman"/>
        </w:rPr>
        <w:t xml:space="preserve"> </w:t>
      </w:r>
      <w:r w:rsidRPr="005E26D6">
        <w:rPr>
          <w:rFonts w:cs="Times New Roman"/>
        </w:rPr>
        <w:t>(</w:t>
      </w:r>
      <w:hyperlink r:id="rId9" w:history="1">
        <w:r w:rsidRPr="005E26D6">
          <w:rPr>
            <w:rStyle w:val="Hyperlink"/>
            <w:rFonts w:cs="Times New Roman"/>
          </w:rPr>
          <w:t>House Journal</w:t>
        </w:r>
        <w:r w:rsidRPr="005E26D6">
          <w:rPr>
            <w:rStyle w:val="Hyperlink"/>
            <w:rFonts w:cs="Times New Roman"/>
          </w:rPr>
          <w:noBreakHyphen/>
          <w:t>page 5</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5E26D6">
        <w:rPr>
          <w:rFonts w:cs="Times New Roman"/>
        </w:rPr>
        <w:t>Member(s) request name added as sponsor: Edge, Anderson</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2/4/2011</w:t>
      </w:r>
      <w:r>
        <w:rPr>
          <w:rFonts w:cs="Times New Roman"/>
        </w:rPr>
        <w:tab/>
      </w:r>
      <w:r>
        <w:rPr>
          <w:rFonts w:cs="Times New Roman"/>
        </w:rPr>
        <w:tab/>
      </w:r>
      <w:r w:rsidRPr="005E26D6">
        <w:rPr>
          <w:rFonts w:cs="Times New Roman"/>
        </w:rPr>
        <w:t>Scrivener's error corrected</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5E26D6">
        <w:rPr>
          <w:rFonts w:cs="Times New Roman"/>
        </w:rPr>
        <w:t>Member(s)</w:t>
      </w:r>
      <w:r>
        <w:rPr>
          <w:rFonts w:cs="Times New Roman"/>
        </w:rPr>
        <w:t xml:space="preserve"> request name added as sponsor: </w:t>
      </w:r>
      <w:r w:rsidRPr="005E26D6">
        <w:rPr>
          <w:rFonts w:cs="Times New Roman"/>
        </w:rPr>
        <w:t>Erickson, Knight, Chumley, Butler Garrick</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5E26D6">
        <w:rPr>
          <w:rFonts w:cs="Times New Roman"/>
        </w:rPr>
        <w:t>Debate adjourn</w:t>
      </w:r>
      <w:r>
        <w:rPr>
          <w:rFonts w:cs="Times New Roman"/>
        </w:rPr>
        <w:t xml:space="preserve">ed until Wednesday, February 9, </w:t>
      </w:r>
      <w:r w:rsidRPr="005E26D6">
        <w:rPr>
          <w:rFonts w:cs="Times New Roman"/>
        </w:rPr>
        <w:t>2011 (</w:t>
      </w:r>
      <w:hyperlink r:id="rId10" w:history="1">
        <w:r w:rsidRPr="005E26D6">
          <w:rPr>
            <w:rStyle w:val="Hyperlink"/>
            <w:rFonts w:cs="Times New Roman"/>
          </w:rPr>
          <w:t>House Journal</w:t>
        </w:r>
        <w:r w:rsidRPr="005E26D6">
          <w:rPr>
            <w:rStyle w:val="Hyperlink"/>
            <w:rFonts w:cs="Times New Roman"/>
          </w:rPr>
          <w:noBreakHyphen/>
          <w:t>page 77</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5E26D6">
        <w:rPr>
          <w:rFonts w:cs="Times New Roman"/>
        </w:rPr>
        <w:t>Member(s) request name added as sponsor: Bales</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5E26D6">
        <w:rPr>
          <w:rFonts w:cs="Times New Roman"/>
        </w:rPr>
        <w:t>Read second time (</w:t>
      </w:r>
      <w:hyperlink r:id="rId11" w:history="1">
        <w:r w:rsidRPr="005E26D6">
          <w:rPr>
            <w:rStyle w:val="Hyperlink"/>
            <w:rFonts w:cs="Times New Roman"/>
          </w:rPr>
          <w:t>House Journal</w:t>
        </w:r>
        <w:r w:rsidRPr="005E26D6">
          <w:rPr>
            <w:rStyle w:val="Hyperlink"/>
            <w:rFonts w:cs="Times New Roman"/>
          </w:rPr>
          <w:noBreakHyphen/>
          <w:t>page 24</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5E26D6">
        <w:rPr>
          <w:rFonts w:cs="Times New Roman"/>
        </w:rPr>
        <w:t>Roll call Yeas</w:t>
      </w:r>
      <w:r>
        <w:rPr>
          <w:rFonts w:cs="Times New Roman"/>
        </w:rPr>
        <w:noBreakHyphen/>
      </w:r>
      <w:r w:rsidRPr="005E26D6">
        <w:rPr>
          <w:rFonts w:cs="Times New Roman"/>
        </w:rPr>
        <w:t>100  Nays</w:t>
      </w:r>
      <w:r>
        <w:rPr>
          <w:rFonts w:cs="Times New Roman"/>
        </w:rPr>
        <w:noBreakHyphen/>
      </w:r>
      <w:r w:rsidRPr="005E26D6">
        <w:rPr>
          <w:rFonts w:cs="Times New Roman"/>
        </w:rPr>
        <w:t>7 (</w:t>
      </w:r>
      <w:hyperlink r:id="rId12" w:history="1">
        <w:r w:rsidRPr="005E26D6">
          <w:rPr>
            <w:rStyle w:val="Hyperlink"/>
            <w:rFonts w:cs="Times New Roman"/>
          </w:rPr>
          <w:t>House Journal</w:t>
        </w:r>
        <w:r w:rsidRPr="005E26D6">
          <w:rPr>
            <w:rStyle w:val="Hyperlink"/>
            <w:rFonts w:cs="Times New Roman"/>
          </w:rPr>
          <w:noBreakHyphen/>
          <w:t>page 24</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5E26D6">
        <w:rPr>
          <w:rFonts w:cs="Times New Roman"/>
        </w:rPr>
        <w:t>Rea</w:t>
      </w:r>
      <w:r>
        <w:rPr>
          <w:rFonts w:cs="Times New Roman"/>
        </w:rPr>
        <w:t xml:space="preserve">d third time and sent to Senate </w:t>
      </w:r>
      <w:r w:rsidRPr="005E26D6">
        <w:rPr>
          <w:rFonts w:cs="Times New Roman"/>
        </w:rPr>
        <w:t>(</w:t>
      </w:r>
      <w:hyperlink r:id="rId13" w:history="1">
        <w:r w:rsidRPr="005E26D6">
          <w:rPr>
            <w:rStyle w:val="Hyperlink"/>
            <w:rFonts w:cs="Times New Roman"/>
          </w:rPr>
          <w:t>House Journal</w:t>
        </w:r>
        <w:r w:rsidRPr="005E26D6">
          <w:rPr>
            <w:rStyle w:val="Hyperlink"/>
            <w:rFonts w:cs="Times New Roman"/>
          </w:rPr>
          <w:noBreakHyphen/>
          <w:t>page 16</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5E26D6">
        <w:rPr>
          <w:rFonts w:cs="Times New Roman"/>
        </w:rPr>
        <w:t xml:space="preserve">Roll call </w:t>
      </w:r>
      <w:r w:rsidRPr="005E26D6">
        <w:rPr>
          <w:rFonts w:cs="Times New Roman"/>
        </w:rPr>
        <w:lastRenderedPageBreak/>
        <w:t>Yeas</w:t>
      </w:r>
      <w:r>
        <w:rPr>
          <w:rFonts w:cs="Times New Roman"/>
        </w:rPr>
        <w:noBreakHyphen/>
      </w:r>
      <w:r w:rsidRPr="005E26D6">
        <w:rPr>
          <w:rFonts w:cs="Times New Roman"/>
        </w:rPr>
        <w:t>100  Nays</w:t>
      </w:r>
      <w:r>
        <w:rPr>
          <w:rFonts w:cs="Times New Roman"/>
        </w:rPr>
        <w:noBreakHyphen/>
      </w:r>
      <w:r w:rsidRPr="005E26D6">
        <w:rPr>
          <w:rFonts w:cs="Times New Roman"/>
        </w:rPr>
        <w:t>11 (</w:t>
      </w:r>
      <w:hyperlink r:id="rId14" w:history="1">
        <w:r w:rsidRPr="005E26D6">
          <w:rPr>
            <w:rStyle w:val="Hyperlink"/>
            <w:rFonts w:cs="Times New Roman"/>
          </w:rPr>
          <w:t>House Journal</w:t>
        </w:r>
        <w:r w:rsidRPr="005E26D6">
          <w:rPr>
            <w:rStyle w:val="Hyperlink"/>
            <w:rFonts w:cs="Times New Roman"/>
          </w:rPr>
          <w:noBreakHyphen/>
          <w:t>page 16</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5E26D6">
        <w:rPr>
          <w:rFonts w:cs="Times New Roman"/>
        </w:rPr>
        <w:t>Introduced and read first time (</w:t>
      </w:r>
      <w:hyperlink r:id="rId15" w:history="1">
        <w:r w:rsidRPr="005E26D6">
          <w:rPr>
            <w:rStyle w:val="Hyperlink"/>
            <w:rFonts w:cs="Times New Roman"/>
          </w:rPr>
          <w:t>Senate Journal</w:t>
        </w:r>
        <w:r w:rsidRPr="005E26D6">
          <w:rPr>
            <w:rStyle w:val="Hyperlink"/>
            <w:rFonts w:cs="Times New Roman"/>
          </w:rPr>
          <w:noBreakHyphen/>
          <w:t>page 10</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5E26D6">
        <w:rPr>
          <w:rFonts w:cs="Times New Roman"/>
        </w:rPr>
        <w:t>Ref</w:t>
      </w:r>
      <w:r>
        <w:rPr>
          <w:rFonts w:cs="Times New Roman"/>
        </w:rPr>
        <w:t xml:space="preserve">erred to Committee on </w:t>
      </w:r>
      <w:r w:rsidRPr="005E26D6">
        <w:rPr>
          <w:rFonts w:cs="Times New Roman"/>
          <w:b/>
        </w:rPr>
        <w:t>Judiciary</w:t>
      </w:r>
      <w:r>
        <w:rPr>
          <w:rFonts w:cs="Times New Roman"/>
        </w:rPr>
        <w:t xml:space="preserve"> </w:t>
      </w:r>
      <w:r w:rsidRPr="005E26D6">
        <w:rPr>
          <w:rFonts w:cs="Times New Roman"/>
        </w:rPr>
        <w:t>(</w:t>
      </w:r>
      <w:hyperlink r:id="rId16" w:history="1">
        <w:r w:rsidRPr="005E26D6">
          <w:rPr>
            <w:rStyle w:val="Hyperlink"/>
            <w:rFonts w:cs="Times New Roman"/>
          </w:rPr>
          <w:t>Senate Journal</w:t>
        </w:r>
        <w:r w:rsidRPr="005E26D6">
          <w:rPr>
            <w:rStyle w:val="Hyperlink"/>
            <w:rFonts w:cs="Times New Roman"/>
          </w:rPr>
          <w:noBreakHyphen/>
          <w:t>page 10</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5E26D6">
        <w:rPr>
          <w:rFonts w:cs="Times New Roman"/>
        </w:rPr>
        <w:t>Committee r</w:t>
      </w:r>
      <w:r>
        <w:rPr>
          <w:rFonts w:cs="Times New Roman"/>
        </w:rPr>
        <w:t xml:space="preserve">eport: Favorable with amendment </w:t>
      </w:r>
      <w:r w:rsidRPr="005E26D6">
        <w:rPr>
          <w:rFonts w:cs="Times New Roman"/>
          <w:b/>
        </w:rPr>
        <w:t>Judiciary</w:t>
      </w:r>
      <w:r w:rsidRPr="005E26D6">
        <w:rPr>
          <w:rFonts w:cs="Times New Roman"/>
        </w:rPr>
        <w:t xml:space="preserve"> (</w:t>
      </w:r>
      <w:hyperlink r:id="rId17" w:history="1">
        <w:r w:rsidRPr="005E26D6">
          <w:rPr>
            <w:rStyle w:val="Hyperlink"/>
            <w:rFonts w:cs="Times New Roman"/>
          </w:rPr>
          <w:t>Senate Journal</w:t>
        </w:r>
        <w:r w:rsidRPr="005E26D6">
          <w:rPr>
            <w:rStyle w:val="Hyperlink"/>
            <w:rFonts w:cs="Times New Roman"/>
          </w:rPr>
          <w:noBreakHyphen/>
          <w:t>page 30</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r>
      <w:r>
        <w:rPr>
          <w:rFonts w:cs="Times New Roman"/>
        </w:rPr>
        <w:tab/>
      </w:r>
      <w:r w:rsidRPr="005E26D6">
        <w:rPr>
          <w:rFonts w:cs="Times New Roman"/>
        </w:rPr>
        <w:t>Scrivener's error corrected</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r>
      <w:r>
        <w:rPr>
          <w:rFonts w:cs="Times New Roman"/>
        </w:rPr>
        <w:tab/>
      </w:r>
      <w:r w:rsidRPr="005E26D6">
        <w:rPr>
          <w:rFonts w:cs="Times New Roman"/>
        </w:rPr>
        <w:t>Scrivener's error corrected</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5E26D6">
        <w:rPr>
          <w:rFonts w:cs="Times New Roman"/>
        </w:rPr>
        <w:t>Specia</w:t>
      </w:r>
      <w:r>
        <w:rPr>
          <w:rFonts w:cs="Times New Roman"/>
        </w:rPr>
        <w:t xml:space="preserve">l order, set for March 15, 2011 </w:t>
      </w:r>
      <w:r w:rsidRPr="005E26D6">
        <w:rPr>
          <w:rFonts w:cs="Times New Roman"/>
        </w:rPr>
        <w:t>(</w:t>
      </w:r>
      <w:hyperlink r:id="rId18" w:history="1">
        <w:r w:rsidRPr="005E26D6">
          <w:rPr>
            <w:rStyle w:val="Hyperlink"/>
            <w:rFonts w:cs="Times New Roman"/>
          </w:rPr>
          <w:t>Senate Journal</w:t>
        </w:r>
        <w:r w:rsidRPr="005E26D6">
          <w:rPr>
            <w:rStyle w:val="Hyperlink"/>
            <w:rFonts w:cs="Times New Roman"/>
          </w:rPr>
          <w:noBreakHyphen/>
          <w:t>page 19</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5E26D6">
        <w:rPr>
          <w:rFonts w:cs="Times New Roman"/>
        </w:rPr>
        <w:t>Debate interrupted (</w:t>
      </w:r>
      <w:hyperlink r:id="rId19" w:history="1">
        <w:r w:rsidRPr="005E26D6">
          <w:rPr>
            <w:rStyle w:val="Hyperlink"/>
            <w:rFonts w:cs="Times New Roman"/>
          </w:rPr>
          <w:t>Senate Journal</w:t>
        </w:r>
        <w:r w:rsidRPr="005E26D6">
          <w:rPr>
            <w:rStyle w:val="Hyperlink"/>
            <w:rFonts w:cs="Times New Roman"/>
          </w:rPr>
          <w:noBreakHyphen/>
          <w:t>page 31</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5E26D6">
        <w:rPr>
          <w:rFonts w:cs="Times New Roman"/>
        </w:rPr>
        <w:t>Debate interrupted (</w:t>
      </w:r>
      <w:hyperlink r:id="rId20" w:history="1">
        <w:r w:rsidRPr="005E26D6">
          <w:rPr>
            <w:rStyle w:val="Hyperlink"/>
            <w:rFonts w:cs="Times New Roman"/>
          </w:rPr>
          <w:t>Senate Journal</w:t>
        </w:r>
        <w:r w:rsidRPr="005E26D6">
          <w:rPr>
            <w:rStyle w:val="Hyperlink"/>
            <w:rFonts w:cs="Times New Roman"/>
          </w:rPr>
          <w:noBreakHyphen/>
          <w:t>page 31</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Senate</w:t>
      </w:r>
      <w:r>
        <w:rPr>
          <w:rFonts w:cs="Times New Roman"/>
        </w:rPr>
        <w:tab/>
      </w:r>
      <w:r w:rsidRPr="005E26D6">
        <w:rPr>
          <w:rFonts w:cs="Times New Roman"/>
        </w:rPr>
        <w:t>Debate interrupted (</w:t>
      </w:r>
      <w:hyperlink r:id="rId21" w:history="1">
        <w:r w:rsidRPr="005E26D6">
          <w:rPr>
            <w:rStyle w:val="Hyperlink"/>
            <w:rFonts w:cs="Times New Roman"/>
          </w:rPr>
          <w:t>Senate Journal</w:t>
        </w:r>
        <w:r w:rsidRPr="005E26D6">
          <w:rPr>
            <w:rStyle w:val="Hyperlink"/>
            <w:rFonts w:cs="Times New Roman"/>
          </w:rPr>
          <w:noBreakHyphen/>
          <w:t>page 21</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5E26D6">
        <w:rPr>
          <w:rFonts w:cs="Times New Roman"/>
        </w:rPr>
        <w:t>Debate interrupted (</w:t>
      </w:r>
      <w:hyperlink r:id="rId22" w:history="1">
        <w:r w:rsidRPr="005E26D6">
          <w:rPr>
            <w:rStyle w:val="Hyperlink"/>
            <w:rFonts w:cs="Times New Roman"/>
          </w:rPr>
          <w:t>Senate Journal</w:t>
        </w:r>
        <w:r w:rsidRPr="005E26D6">
          <w:rPr>
            <w:rStyle w:val="Hyperlink"/>
            <w:rFonts w:cs="Times New Roman"/>
          </w:rPr>
          <w:noBreakHyphen/>
          <w:t>page 40</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5E26D6">
        <w:rPr>
          <w:rFonts w:cs="Times New Roman"/>
        </w:rPr>
        <w:t>Debate interrupted (</w:t>
      </w:r>
      <w:hyperlink r:id="rId23" w:history="1">
        <w:r w:rsidRPr="005E26D6">
          <w:rPr>
            <w:rStyle w:val="Hyperlink"/>
            <w:rFonts w:cs="Times New Roman"/>
          </w:rPr>
          <w:t>Senate Journal</w:t>
        </w:r>
        <w:r w:rsidRPr="005E26D6">
          <w:rPr>
            <w:rStyle w:val="Hyperlink"/>
            <w:rFonts w:cs="Times New Roman"/>
          </w:rPr>
          <w:noBreakHyphen/>
          <w:t>page 52</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5E26D6">
        <w:rPr>
          <w:rFonts w:cs="Times New Roman"/>
        </w:rPr>
        <w:t>Committe</w:t>
      </w:r>
      <w:r>
        <w:rPr>
          <w:rFonts w:cs="Times New Roman"/>
        </w:rPr>
        <w:t xml:space="preserve">e Amendment Amended and Adopted </w:t>
      </w:r>
      <w:r w:rsidRPr="005E26D6">
        <w:rPr>
          <w:rFonts w:cs="Times New Roman"/>
        </w:rPr>
        <w:t>(</w:t>
      </w:r>
      <w:hyperlink r:id="rId24" w:history="1">
        <w:r w:rsidRPr="005E26D6">
          <w:rPr>
            <w:rStyle w:val="Hyperlink"/>
            <w:rFonts w:cs="Times New Roman"/>
          </w:rPr>
          <w:t>Senate Journal</w:t>
        </w:r>
        <w:r w:rsidRPr="005E26D6">
          <w:rPr>
            <w:rStyle w:val="Hyperlink"/>
            <w:rFonts w:cs="Times New Roman"/>
          </w:rPr>
          <w:noBreakHyphen/>
          <w:t>page 41</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5E26D6">
        <w:rPr>
          <w:rFonts w:cs="Times New Roman"/>
        </w:rPr>
        <w:t>Read second time (</w:t>
      </w:r>
      <w:hyperlink r:id="rId25" w:history="1">
        <w:r w:rsidRPr="005E26D6">
          <w:rPr>
            <w:rStyle w:val="Hyperlink"/>
            <w:rFonts w:cs="Times New Roman"/>
          </w:rPr>
          <w:t>Senate Journal</w:t>
        </w:r>
        <w:r w:rsidRPr="005E26D6">
          <w:rPr>
            <w:rStyle w:val="Hyperlink"/>
            <w:rFonts w:cs="Times New Roman"/>
          </w:rPr>
          <w:noBreakHyphen/>
          <w:t>page 41</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5E26D6">
        <w:rPr>
          <w:rFonts w:cs="Times New Roman"/>
        </w:rPr>
        <w:t>Roll call Ayes</w:t>
      </w:r>
      <w:r>
        <w:rPr>
          <w:rFonts w:cs="Times New Roman"/>
        </w:rPr>
        <w:noBreakHyphen/>
      </w:r>
      <w:r w:rsidRPr="005E26D6">
        <w:rPr>
          <w:rFonts w:cs="Times New Roman"/>
        </w:rPr>
        <w:t>39  Nays</w:t>
      </w:r>
      <w:r>
        <w:rPr>
          <w:rFonts w:cs="Times New Roman"/>
        </w:rPr>
        <w:noBreakHyphen/>
      </w:r>
      <w:r w:rsidRPr="005E26D6">
        <w:rPr>
          <w:rFonts w:cs="Times New Roman"/>
        </w:rPr>
        <w:t>0 (</w:t>
      </w:r>
      <w:hyperlink r:id="rId26" w:history="1">
        <w:r w:rsidRPr="005E26D6">
          <w:rPr>
            <w:rStyle w:val="Hyperlink"/>
            <w:rFonts w:cs="Times New Roman"/>
          </w:rPr>
          <w:t>Senate Journal</w:t>
        </w:r>
        <w:r w:rsidRPr="005E26D6">
          <w:rPr>
            <w:rStyle w:val="Hyperlink"/>
            <w:rFonts w:cs="Times New Roman"/>
          </w:rPr>
          <w:noBreakHyphen/>
          <w:t>page 41</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5E26D6">
        <w:rPr>
          <w:rFonts w:cs="Times New Roman"/>
        </w:rPr>
        <w:t>Debate interrupted (</w:t>
      </w:r>
      <w:hyperlink r:id="rId27" w:history="1">
        <w:r w:rsidRPr="005E26D6">
          <w:rPr>
            <w:rStyle w:val="Hyperlink"/>
            <w:rFonts w:cs="Times New Roman"/>
          </w:rPr>
          <w:t>Senate Journal</w:t>
        </w:r>
        <w:r w:rsidRPr="005E26D6">
          <w:rPr>
            <w:rStyle w:val="Hyperlink"/>
            <w:rFonts w:cs="Times New Roman"/>
          </w:rPr>
          <w:noBreakHyphen/>
          <w:t>page 41</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5E26D6">
        <w:rPr>
          <w:rFonts w:cs="Times New Roman"/>
        </w:rPr>
        <w:t>Scrivener's error corrected</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E26D6">
        <w:rPr>
          <w:rFonts w:cs="Times New Roman"/>
        </w:rPr>
        <w:t xml:space="preserve">Read third </w:t>
      </w:r>
      <w:r>
        <w:rPr>
          <w:rFonts w:cs="Times New Roman"/>
        </w:rPr>
        <w:t xml:space="preserve">time and returned to House with </w:t>
      </w:r>
      <w:r w:rsidRPr="005E26D6">
        <w:rPr>
          <w:rFonts w:cs="Times New Roman"/>
        </w:rPr>
        <w:t>amendments (</w:t>
      </w:r>
      <w:hyperlink r:id="rId28" w:history="1">
        <w:r w:rsidRPr="005E26D6">
          <w:rPr>
            <w:rStyle w:val="Hyperlink"/>
            <w:rFonts w:cs="Times New Roman"/>
          </w:rPr>
          <w:t>Senate Journal</w:t>
        </w:r>
        <w:r w:rsidRPr="005E26D6">
          <w:rPr>
            <w:rStyle w:val="Hyperlink"/>
            <w:rFonts w:cs="Times New Roman"/>
          </w:rPr>
          <w:noBreakHyphen/>
          <w:t>page 178</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5E26D6">
        <w:rPr>
          <w:rFonts w:cs="Times New Roman"/>
        </w:rPr>
        <w:t>Concurred i</w:t>
      </w:r>
      <w:r>
        <w:rPr>
          <w:rFonts w:cs="Times New Roman"/>
        </w:rPr>
        <w:t xml:space="preserve">n Senate amendment and enrolled </w:t>
      </w:r>
      <w:r w:rsidRPr="005E26D6">
        <w:rPr>
          <w:rFonts w:cs="Times New Roman"/>
        </w:rPr>
        <w:t>(</w:t>
      </w:r>
      <w:hyperlink r:id="rId29" w:history="1">
        <w:r w:rsidRPr="005E26D6">
          <w:rPr>
            <w:rStyle w:val="Hyperlink"/>
            <w:rFonts w:cs="Times New Roman"/>
          </w:rPr>
          <w:t>House Journal</w:t>
        </w:r>
        <w:r w:rsidRPr="005E26D6">
          <w:rPr>
            <w:rStyle w:val="Hyperlink"/>
            <w:rFonts w:cs="Times New Roman"/>
          </w:rPr>
          <w:noBreakHyphen/>
          <w:t>page 54</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5E26D6">
        <w:rPr>
          <w:rFonts w:cs="Times New Roman"/>
        </w:rPr>
        <w:t>Roll call Yeas</w:t>
      </w:r>
      <w:r>
        <w:rPr>
          <w:rFonts w:cs="Times New Roman"/>
        </w:rPr>
        <w:noBreakHyphen/>
      </w:r>
      <w:r w:rsidRPr="005E26D6">
        <w:rPr>
          <w:rFonts w:cs="Times New Roman"/>
        </w:rPr>
        <w:t>99  Nays</w:t>
      </w:r>
      <w:r>
        <w:rPr>
          <w:rFonts w:cs="Times New Roman"/>
        </w:rPr>
        <w:noBreakHyphen/>
      </w:r>
      <w:r w:rsidRPr="005E26D6">
        <w:rPr>
          <w:rFonts w:cs="Times New Roman"/>
        </w:rPr>
        <w:t>16 (</w:t>
      </w:r>
      <w:hyperlink r:id="rId30" w:history="1">
        <w:r w:rsidRPr="005E26D6">
          <w:rPr>
            <w:rStyle w:val="Hyperlink"/>
            <w:rFonts w:cs="Times New Roman"/>
          </w:rPr>
          <w:t>House Journal</w:t>
        </w:r>
        <w:r w:rsidRPr="005E26D6">
          <w:rPr>
            <w:rStyle w:val="Hyperlink"/>
            <w:rFonts w:cs="Times New Roman"/>
          </w:rPr>
          <w:noBreakHyphen/>
          <w:t>page 54</w:t>
        </w:r>
      </w:hyperlink>
      <w:r w:rsidRPr="005E26D6">
        <w:rPr>
          <w:rFonts w:cs="Times New Roman"/>
        </w:rPr>
        <w:t>)</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5E26D6">
        <w:rPr>
          <w:rFonts w:cs="Times New Roman"/>
        </w:rPr>
        <w:t>Ratified R 86</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5E26D6">
        <w:rPr>
          <w:rFonts w:cs="Times New Roman"/>
        </w:rPr>
        <w:t>Signed By Governor</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5E26D6">
        <w:rPr>
          <w:rFonts w:cs="Times New Roman"/>
        </w:rPr>
        <w:t>Effective date See Act for Effective Date</w:t>
      </w:r>
    </w:p>
    <w:p w:rsidR="004A762E" w:rsidRDefault="004A762E" w:rsidP="004A762E">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5E26D6">
        <w:rPr>
          <w:rFonts w:cs="Times New Roman"/>
        </w:rPr>
        <w:t>Act No</w:t>
      </w:r>
      <w:r>
        <w:rPr>
          <w:rFonts w:cs="Times New Roman"/>
        </w:rPr>
        <w:t>. </w:t>
      </w:r>
      <w:r w:rsidRPr="005E26D6">
        <w:rPr>
          <w:rFonts w:cs="Times New Roman"/>
        </w:rPr>
        <w:t>52</w:t>
      </w:r>
    </w:p>
    <w:p w:rsidR="004A762E" w:rsidRDefault="004A762E" w:rsidP="004A762E">
      <w:pPr>
        <w:widowControl w:val="0"/>
        <w:tabs>
          <w:tab w:val="right" w:pos="1008"/>
          <w:tab w:val="left" w:pos="1152"/>
          <w:tab w:val="left" w:pos="1872"/>
          <w:tab w:val="left" w:pos="9187"/>
        </w:tabs>
        <w:ind w:left="2088" w:hanging="2088"/>
        <w:rPr>
          <w:rFonts w:cs="Times New Roman"/>
        </w:rPr>
      </w:pPr>
    </w:p>
    <w:p w:rsidR="008E399C" w:rsidRPr="008E399C" w:rsidRDefault="008E399C" w:rsidP="008E399C">
      <w:pPr>
        <w:widowControl w:val="0"/>
        <w:tabs>
          <w:tab w:val="right" w:pos="1008"/>
          <w:tab w:val="left" w:pos="1152"/>
          <w:tab w:val="left" w:pos="1872"/>
          <w:tab w:val="left" w:pos="9187"/>
        </w:tabs>
        <w:ind w:left="2088" w:hanging="2088"/>
        <w:rPr>
          <w:rFonts w:eastAsia="Times New Roman" w:cs="Times New Roman"/>
          <w:szCs w:val="20"/>
        </w:rPr>
      </w:pP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E399C">
        <w:rPr>
          <w:rFonts w:eastAsia="Times New Roman" w:cs="Times New Roman"/>
          <w:b/>
          <w:szCs w:val="20"/>
        </w:rPr>
        <w:t>VERSIONS OF THIS BILL</w:t>
      </w:r>
    </w:p>
    <w:p w:rsidR="008E399C" w:rsidRPr="008E399C" w:rsidRDefault="008E399C"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399C" w:rsidRPr="008E399C" w:rsidRDefault="0051279E" w:rsidP="008E3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8E399C" w:rsidRPr="008E399C">
          <w:rPr>
            <w:rFonts w:eastAsia="Times New Roman" w:cs="Times New Roman"/>
            <w:color w:val="0000FF" w:themeColor="hyperlink"/>
            <w:szCs w:val="20"/>
            <w:u w:val="single"/>
          </w:rPr>
          <w:t>1/19/2011</w:t>
        </w:r>
      </w:hyperlink>
    </w:p>
    <w:p w:rsidR="008E399C" w:rsidRPr="008E399C" w:rsidRDefault="0051279E"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E399C" w:rsidRPr="008E399C">
          <w:rPr>
            <w:rFonts w:eastAsia="Times New Roman" w:cs="Times New Roman"/>
            <w:color w:val="0000FF" w:themeColor="hyperlink"/>
            <w:szCs w:val="20"/>
            <w:u w:val="single"/>
          </w:rPr>
          <w:t>2/2/2011</w:t>
        </w:r>
      </w:hyperlink>
    </w:p>
    <w:p w:rsidR="008E399C" w:rsidRPr="008E399C" w:rsidRDefault="0051279E"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E399C" w:rsidRPr="008E399C">
          <w:rPr>
            <w:rFonts w:eastAsia="Times New Roman" w:cs="Times New Roman"/>
            <w:color w:val="0000FF" w:themeColor="hyperlink"/>
            <w:szCs w:val="20"/>
            <w:u w:val="single"/>
          </w:rPr>
          <w:t>2/4/2011</w:t>
        </w:r>
      </w:hyperlink>
    </w:p>
    <w:p w:rsidR="008E399C" w:rsidRPr="008E399C" w:rsidRDefault="0051279E"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E399C" w:rsidRPr="008E399C">
          <w:rPr>
            <w:rFonts w:eastAsia="Times New Roman" w:cs="Times New Roman"/>
            <w:color w:val="0000FF" w:themeColor="hyperlink"/>
            <w:szCs w:val="20"/>
            <w:u w:val="single"/>
          </w:rPr>
          <w:t>2/23/2011</w:t>
        </w:r>
      </w:hyperlink>
    </w:p>
    <w:p w:rsidR="008E399C" w:rsidRPr="008E399C" w:rsidRDefault="0051279E"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8E399C" w:rsidRPr="008E399C">
          <w:rPr>
            <w:rFonts w:eastAsia="Times New Roman" w:cs="Times New Roman"/>
            <w:color w:val="0000FF" w:themeColor="hyperlink"/>
            <w:szCs w:val="20"/>
            <w:u w:val="single"/>
          </w:rPr>
          <w:t>2/24/2011</w:t>
        </w:r>
      </w:hyperlink>
    </w:p>
    <w:p w:rsidR="008E399C" w:rsidRPr="008E399C" w:rsidRDefault="0051279E"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8E399C" w:rsidRPr="008E399C">
          <w:rPr>
            <w:rFonts w:eastAsia="Times New Roman" w:cs="Times New Roman"/>
            <w:color w:val="0000FF" w:themeColor="hyperlink"/>
            <w:szCs w:val="20"/>
            <w:u w:val="single"/>
          </w:rPr>
          <w:t>3/2/2011</w:t>
        </w:r>
      </w:hyperlink>
    </w:p>
    <w:p w:rsidR="008E399C" w:rsidRPr="008E399C" w:rsidRDefault="0051279E"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E399C" w:rsidRPr="008E399C">
          <w:rPr>
            <w:rFonts w:eastAsia="Times New Roman" w:cs="Times New Roman"/>
            <w:color w:val="0000FF" w:themeColor="hyperlink"/>
            <w:szCs w:val="20"/>
            <w:u w:val="single"/>
          </w:rPr>
          <w:t>5/31/2011</w:t>
        </w:r>
      </w:hyperlink>
    </w:p>
    <w:p w:rsidR="008E399C" w:rsidRPr="008E399C" w:rsidRDefault="0051279E"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E399C" w:rsidRPr="008E399C">
          <w:rPr>
            <w:rFonts w:eastAsia="Times New Roman" w:cs="Times New Roman"/>
            <w:color w:val="0000FF" w:themeColor="hyperlink"/>
            <w:szCs w:val="20"/>
            <w:u w:val="single"/>
          </w:rPr>
          <w:t>6/1/2011</w:t>
        </w:r>
      </w:hyperlink>
    </w:p>
    <w:p w:rsidR="008E399C" w:rsidRPr="008E399C" w:rsidRDefault="008E399C"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E399C" w:rsidRDefault="008E399C" w:rsidP="008E39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E399C" w:rsidSect="008E399C">
          <w:pgSz w:w="12240" w:h="15840" w:code="1"/>
          <w:pgMar w:top="1080" w:right="1440" w:bottom="1080" w:left="1440" w:header="720" w:footer="720" w:gutter="0"/>
          <w:pgNumType w:start="1"/>
          <w:cols w:space="720"/>
          <w:noEndnote/>
          <w:docGrid w:linePitch="360"/>
        </w:sectPr>
      </w:pP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(A52, R86, H3375)</w:t>
      </w:r>
    </w:p>
    <w:p w:rsidR="00BE4EB6" w:rsidRPr="008836A5"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E4EB6" w:rsidRPr="008E399C"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E399C">
        <w:rPr>
          <w:rFonts w:cs="Times New Roman"/>
          <w:b/>
          <w:color w:val="000000" w:themeColor="text1"/>
          <w:szCs w:val="36"/>
        </w:rPr>
        <w:t xml:space="preserve">AN ACT </w:t>
      </w:r>
      <w:r w:rsidRPr="008E399C">
        <w:rPr>
          <w:rFonts w:cs="Times New Roman"/>
          <w:b/>
        </w:rPr>
        <w:t>TO AMEND THE CODE OF LAWS OF SOUTH CAROLINA, 1976, SO AS TO ENACT THE “SOUTH CAROLINA FAIRNESS IN CIVIL JUSTICE A</w:t>
      </w:r>
      <w:r>
        <w:rPr>
          <w:rFonts w:cs="Times New Roman"/>
          <w:b/>
        </w:rPr>
        <w:t>CT OF 2011” BY ADDING ARTICLE 5 TO CHAPTER 32,</w:t>
      </w:r>
      <w:r w:rsidRPr="008E399C">
        <w:rPr>
          <w:rFonts w:cs="Times New Roman"/>
          <w:b/>
        </w:rPr>
        <w:t xml:space="preserve"> TITLE 15 SO AS TO PROVIDE LIMITS ON THE AWARD OF PUNITIVE DAMAGES AND TO PROVIDE FOR CERTAIN PROCEDURES AND REQUIREMENTS RELATING TO THE AWARD OF THESE DAMAGES; BY ADDING SECTION 1</w:t>
      </w:r>
      <w:r w:rsidRPr="008E399C">
        <w:rPr>
          <w:rFonts w:cs="Times New Roman"/>
          <w:b/>
        </w:rPr>
        <w:noBreakHyphen/>
        <w:t>7</w:t>
      </w:r>
      <w:r w:rsidRPr="008E399C">
        <w:rPr>
          <w:rFonts w:cs="Times New Roman"/>
          <w:b/>
        </w:rPr>
        <w:noBreakHyphen/>
        <w:t>750 SO AS TO AUTHORIZE CIRCUIT SOLICITORS TO EMPLOY OUTSIDE COUNSEL UNDER CERTAIN CIRCUMSTANCES; BY ADDING SECTION 38</w:t>
      </w:r>
      <w:r w:rsidRPr="008E399C">
        <w:rPr>
          <w:rFonts w:cs="Times New Roman"/>
          <w:b/>
        </w:rPr>
        <w:noBreakHyphen/>
        <w:t>77</w:t>
      </w:r>
      <w:r w:rsidRPr="008E399C">
        <w:rPr>
          <w:rFonts w:cs="Times New Roman"/>
          <w:b/>
        </w:rPr>
        <w:noBreakHyphen/>
        <w:t>250 SO AS TO REQUIRE EVERY INSURER PROVIDING AUTOMOBILE INSURANCE COVERAGE IN THE STATE TO PROVIDE CERTAIN INSURANCE COVERAGE INFORMATION WHEN A WRITTEN REQUEST IS MADE BY A CLAIMANT’S ATTORNEY AND TO AUTHORIZE SANCTIONS BY THE COURT FOR NONCOMPLIANCE; TO AMEND SECTION 15</w:t>
      </w:r>
      <w:r w:rsidRPr="008E399C">
        <w:rPr>
          <w:rFonts w:cs="Times New Roman"/>
          <w:b/>
        </w:rPr>
        <w:noBreakHyphen/>
        <w:t>3</w:t>
      </w:r>
      <w:r w:rsidRPr="008E399C">
        <w:rPr>
          <w:rFonts w:cs="Times New Roman"/>
          <w:b/>
        </w:rPr>
        <w:noBreakHyphen/>
        <w:t>670, RELATING TO LIMITATIONS ON ACTIONS BASED ON UNSAFE OR DEFECTIVE IMPROVEMENTS TO REAL PROPERTY, SO AS TO PROVIDE THAT THE VIOLATION OF A BUILDING CODE DOES NOT CONSTITUTE PER SE FRAUD, GROSS NEGLIGENCE, OR RECKLESSNESS BUT MAY BE ADMISSIBLE AS EVIDENCE; AND TO AMEND SECTION 18</w:t>
      </w:r>
      <w:r w:rsidRPr="008E399C">
        <w:rPr>
          <w:rFonts w:cs="Times New Roman"/>
          <w:b/>
        </w:rPr>
        <w:noBreakHyphen/>
        <w:t>9</w:t>
      </w:r>
      <w:r w:rsidRPr="008E399C">
        <w:rPr>
          <w:rFonts w:cs="Times New Roman"/>
          <w:b/>
        </w:rPr>
        <w:noBreakHyphen/>
        <w:t>130, AS AMENDED, RELATING TO THE EFFECT OF A NOTICE OF APPEAL ON THE EXECUTION OF JUDGMENT, SO AS TO PROVIDE LIMITS FOR APPEAL BONDS.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4340A">
        <w:rPr>
          <w:rFonts w:cs="Times New Roman"/>
        </w:rPr>
        <w:t>Be it enacted by the General Assembly of the State of South Carolina:</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EB6" w:rsidRPr="00967FA9"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SECTION</w:t>
      </w:r>
      <w:r w:rsidRPr="0074340A">
        <w:rPr>
          <w:rFonts w:cs="Times New Roman"/>
          <w:snapToGrid w:val="0"/>
        </w:rPr>
        <w:tab/>
        <w:t>1.</w:t>
      </w:r>
      <w:r w:rsidRPr="0074340A">
        <w:rPr>
          <w:rFonts w:cs="Times New Roman"/>
          <w:snapToGrid w:val="0"/>
        </w:rPr>
        <w:tab/>
        <w:t>This act may be cited as the “South Carolina Fairness in Civil Justice Act of 2011”.</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967FA9"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Punitive damages, limitations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SECTION</w:t>
      </w:r>
      <w:r w:rsidRPr="0074340A">
        <w:rPr>
          <w:rFonts w:cs="Times New Roman"/>
          <w:snapToGrid w:val="0"/>
        </w:rPr>
        <w:tab/>
        <w:t>2.</w:t>
      </w:r>
      <w:r w:rsidRPr="0074340A">
        <w:rPr>
          <w:rFonts w:cs="Times New Roman"/>
          <w:snapToGrid w:val="0"/>
        </w:rPr>
        <w:tab/>
        <w:t>Chapter 32, Title 15 of the 1976 Code is amended by adding:</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74340A">
        <w:rPr>
          <w:rFonts w:cs="Times New Roman"/>
          <w:snapToGrid w:val="0"/>
        </w:rPr>
        <w:t>“Article 5</w:t>
      </w:r>
    </w:p>
    <w:p w:rsidR="00BE4EB6" w:rsidRPr="0074340A" w:rsidRDefault="00BE4EB6" w:rsidP="00BE4E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p>
    <w:p w:rsidR="00BE4EB6" w:rsidRPr="0074340A" w:rsidRDefault="00BE4EB6" w:rsidP="00BE4E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74340A">
        <w:rPr>
          <w:rFonts w:cs="Times New Roman"/>
          <w:snapToGrid w:val="0"/>
        </w:rPr>
        <w:t>Punitive Damages</w:t>
      </w:r>
    </w:p>
    <w:p w:rsidR="00BE4EB6" w:rsidRPr="0074340A" w:rsidRDefault="00BE4EB6" w:rsidP="00BE4EB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Section 15</w:t>
      </w:r>
      <w:r>
        <w:rPr>
          <w:rFonts w:cs="Times New Roman"/>
          <w:snapToGrid w:val="0"/>
        </w:rPr>
        <w:noBreakHyphen/>
      </w:r>
      <w:r w:rsidRPr="0074340A">
        <w:rPr>
          <w:rFonts w:cs="Times New Roman"/>
          <w:snapToGrid w:val="0"/>
        </w:rPr>
        <w:t>32</w:t>
      </w:r>
      <w:r>
        <w:rPr>
          <w:rFonts w:cs="Times New Roman"/>
          <w:snapToGrid w:val="0"/>
        </w:rPr>
        <w:noBreakHyphen/>
      </w:r>
      <w:r w:rsidRPr="0074340A">
        <w:rPr>
          <w:rFonts w:cs="Times New Roman"/>
          <w:snapToGrid w:val="0"/>
        </w:rPr>
        <w:t>510.</w:t>
      </w:r>
      <w:r w:rsidRPr="0074340A">
        <w:rPr>
          <w:rFonts w:cs="Times New Roman"/>
          <w:snapToGrid w:val="0"/>
        </w:rPr>
        <w:tab/>
        <w:t>(A)</w:t>
      </w:r>
      <w:r w:rsidRPr="0074340A">
        <w:rPr>
          <w:rFonts w:cs="Times New Roman"/>
          <w:snapToGrid w:val="0"/>
        </w:rPr>
        <w:tab/>
        <w:t>A claim for punitive damages must be specifically prayed for in the complaint.</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(B)</w:t>
      </w:r>
      <w:r w:rsidRPr="0074340A">
        <w:rPr>
          <w:rFonts w:cs="Times New Roman"/>
          <w:snapToGrid w:val="0"/>
        </w:rPr>
        <w:tab/>
        <w:t xml:space="preserve">The plaintiff shall not specifically plead an amount of punitive damages, only that punitive damages are sought in the action. </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Section 15</w:t>
      </w:r>
      <w:r>
        <w:rPr>
          <w:rFonts w:cs="Times New Roman"/>
          <w:snapToGrid w:val="0"/>
        </w:rPr>
        <w:noBreakHyphen/>
      </w:r>
      <w:r w:rsidRPr="0074340A">
        <w:rPr>
          <w:rFonts w:cs="Times New Roman"/>
          <w:snapToGrid w:val="0"/>
        </w:rPr>
        <w:t>32</w:t>
      </w:r>
      <w:r>
        <w:rPr>
          <w:rFonts w:cs="Times New Roman"/>
          <w:snapToGrid w:val="0"/>
        </w:rPr>
        <w:noBreakHyphen/>
      </w:r>
      <w:r w:rsidRPr="0074340A">
        <w:rPr>
          <w:rFonts w:cs="Times New Roman"/>
          <w:snapToGrid w:val="0"/>
        </w:rPr>
        <w:t>520.</w:t>
      </w:r>
      <w:r w:rsidRPr="0074340A">
        <w:rPr>
          <w:rFonts w:cs="Times New Roman"/>
          <w:snapToGrid w:val="0"/>
        </w:rPr>
        <w:tab/>
      </w:r>
      <w:r w:rsidRPr="0074340A">
        <w:rPr>
          <w:rFonts w:cs="Times New Roman"/>
          <w:snapToGrid w:val="0"/>
        </w:rPr>
        <w:tab/>
        <w:t>(A)</w:t>
      </w:r>
      <w:r w:rsidRPr="0074340A">
        <w:rPr>
          <w:rFonts w:cs="Times New Roman"/>
          <w:snapToGrid w:val="0"/>
        </w:rPr>
        <w:tab/>
        <w:t xml:space="preserve">All actions tried before a jury involving punitive damages, if requested by any defendant against whom punitive damages are sought, must be conducted in a bifurcated manner before the same jury.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(B)</w:t>
      </w:r>
      <w:r w:rsidRPr="0074340A">
        <w:rPr>
          <w:rFonts w:cs="Times New Roman"/>
          <w:snapToGrid w:val="0"/>
        </w:rPr>
        <w:tab/>
        <w:t xml:space="preserve">In the first stage of a bifurcated trial, the jury shall determine liability for compensatory damages and the amount of compensatory or nominal damages.  Evidence relevant only to the issues of punitive damages is not admissible at this stage.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(C)</w:t>
      </w:r>
      <w:r w:rsidRPr="0074340A">
        <w:rPr>
          <w:rFonts w:cs="Times New Roman"/>
          <w:snapToGrid w:val="0"/>
        </w:rPr>
        <w:tab/>
        <w:t xml:space="preserve">Punitive damages may be considered if compensatory or nominal damages have been awarded in the first stage of the trial.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(D)</w:t>
      </w:r>
      <w:r w:rsidRPr="0074340A">
        <w:rPr>
          <w:rFonts w:cs="Times New Roman"/>
          <w:snapToGrid w:val="0"/>
        </w:rPr>
        <w:tab/>
        <w:t>Punitive damages may be awarded only if the plaintiff proves by clear and convincing evidence that his harm was the result of the defendant</w:t>
      </w:r>
      <w:r w:rsidRPr="00967FA9">
        <w:rPr>
          <w:rFonts w:cs="Times New Roman"/>
          <w:snapToGrid w:val="0"/>
        </w:rPr>
        <w:t>’</w:t>
      </w:r>
      <w:r w:rsidRPr="0074340A">
        <w:rPr>
          <w:rFonts w:cs="Times New Roman"/>
          <w:snapToGrid w:val="0"/>
        </w:rPr>
        <w:t xml:space="preserve">s wilful, wanton, or reckless conduct.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(E)</w:t>
      </w:r>
      <w:r w:rsidRPr="0074340A">
        <w:rPr>
          <w:rFonts w:cs="Times New Roman"/>
          <w:snapToGrid w:val="0"/>
        </w:rPr>
        <w:tab/>
        <w:t xml:space="preserve">In the second stage of a bifurcated trial, the jury shall determine if a defendant is liable for punitive damages and, if determined to be liable, the amount of punitive damages. In determining the amount of punitive damages, the jury may consider all relevant evidence, including, but not limited to: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(1)</w:t>
      </w:r>
      <w:r w:rsidRPr="0074340A">
        <w:rPr>
          <w:rFonts w:cs="Times New Roman"/>
          <w:snapToGrid w:val="0"/>
        </w:rPr>
        <w:tab/>
        <w:t>the defendant</w:t>
      </w:r>
      <w:r w:rsidRPr="00967FA9">
        <w:rPr>
          <w:rFonts w:cs="Times New Roman"/>
          <w:snapToGrid w:val="0"/>
        </w:rPr>
        <w:t>’</w:t>
      </w:r>
      <w:r w:rsidRPr="0074340A">
        <w:rPr>
          <w:rFonts w:cs="Times New Roman"/>
          <w:snapToGrid w:val="0"/>
        </w:rPr>
        <w:t>s degree of culpability;</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(2)</w:t>
      </w:r>
      <w:r w:rsidRPr="0074340A">
        <w:rPr>
          <w:rFonts w:cs="Times New Roman"/>
          <w:snapToGrid w:val="0"/>
        </w:rPr>
        <w:tab/>
        <w:t xml:space="preserve">the severity of the harm caused by the defendant;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(3)</w:t>
      </w:r>
      <w:r w:rsidRPr="0074340A">
        <w:rPr>
          <w:rFonts w:cs="Times New Roman"/>
          <w:snapToGrid w:val="0"/>
        </w:rPr>
        <w:tab/>
        <w:t>the extent to which the plaintiff</w:t>
      </w:r>
      <w:r w:rsidRPr="00967FA9">
        <w:rPr>
          <w:rFonts w:cs="Times New Roman"/>
          <w:snapToGrid w:val="0"/>
        </w:rPr>
        <w:t>’</w:t>
      </w:r>
      <w:r w:rsidRPr="0074340A">
        <w:rPr>
          <w:rFonts w:cs="Times New Roman"/>
          <w:snapToGrid w:val="0"/>
        </w:rPr>
        <w:t xml:space="preserve">s own conduct contributed to the harm;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(4)</w:t>
      </w:r>
      <w:r w:rsidRPr="0074340A">
        <w:rPr>
          <w:rFonts w:cs="Times New Roman"/>
          <w:snapToGrid w:val="0"/>
        </w:rPr>
        <w:tab/>
        <w:t>the duration of the conduct, the defendant</w:t>
      </w:r>
      <w:r w:rsidRPr="00967FA9">
        <w:rPr>
          <w:rFonts w:cs="Times New Roman"/>
          <w:snapToGrid w:val="0"/>
        </w:rPr>
        <w:t>’</w:t>
      </w:r>
      <w:r w:rsidRPr="0074340A">
        <w:rPr>
          <w:rFonts w:cs="Times New Roman"/>
          <w:snapToGrid w:val="0"/>
        </w:rPr>
        <w:t xml:space="preserve">s awareness, and any concealment by the defendant;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(5)</w:t>
      </w:r>
      <w:r w:rsidRPr="0074340A">
        <w:rPr>
          <w:rFonts w:cs="Times New Roman"/>
          <w:snapToGrid w:val="0"/>
        </w:rPr>
        <w:tab/>
        <w:t>the existence of similar past conduct;</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(6)</w:t>
      </w:r>
      <w:r w:rsidRPr="0074340A">
        <w:rPr>
          <w:rFonts w:cs="Times New Roman"/>
          <w:snapToGrid w:val="0"/>
        </w:rPr>
        <w:tab/>
        <w:t xml:space="preserve">the profitability of the conduct to the defendant;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(7)</w:t>
      </w:r>
      <w:r w:rsidRPr="0074340A">
        <w:rPr>
          <w:rFonts w:cs="Times New Roman"/>
          <w:snapToGrid w:val="0"/>
        </w:rPr>
        <w:tab/>
        <w:t>the defendant</w:t>
      </w:r>
      <w:r w:rsidRPr="00967FA9">
        <w:rPr>
          <w:rFonts w:cs="Times New Roman"/>
          <w:snapToGrid w:val="0"/>
        </w:rPr>
        <w:t>’</w:t>
      </w:r>
      <w:r w:rsidRPr="0074340A">
        <w:rPr>
          <w:rFonts w:cs="Times New Roman"/>
          <w:snapToGrid w:val="0"/>
        </w:rPr>
        <w:t>s ability to pay;</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(8)</w:t>
      </w:r>
      <w:r w:rsidRPr="0074340A">
        <w:rPr>
          <w:rFonts w:cs="Times New Roman"/>
          <w:snapToGrid w:val="0"/>
        </w:rPr>
        <w:tab/>
        <w:t>the likelihood the award will deter the defendant or others from like conduct;</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(9)</w:t>
      </w:r>
      <w:r w:rsidRPr="0074340A">
        <w:rPr>
          <w:rFonts w:cs="Times New Roman"/>
          <w:snapToGrid w:val="0"/>
        </w:rPr>
        <w:tab/>
        <w:t xml:space="preserve">the awards of punitive damages against the defendant in any state or federal court action alleging harm from the same act or course of conduct complained of by the plaintiff;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(10)</w:t>
      </w:r>
      <w:r w:rsidRPr="0074340A">
        <w:rPr>
          <w:rFonts w:cs="Times New Roman"/>
          <w:snapToGrid w:val="0"/>
        </w:rPr>
        <w:tab/>
        <w:t xml:space="preserve">any criminal penalties imposed on the defendant as a result of the same act or course of conduct complained of by the plaintiff; and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(11)</w:t>
      </w:r>
      <w:r w:rsidRPr="0074340A">
        <w:rPr>
          <w:rFonts w:cs="Times New Roman"/>
          <w:snapToGrid w:val="0"/>
        </w:rPr>
        <w:tab/>
        <w:t xml:space="preserve">the amount of any civil fines assessed against the defendant as a result of the same act or course of conduct complained of by the plaintiff.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(F)</w:t>
      </w:r>
      <w:r w:rsidRPr="0074340A">
        <w:rPr>
          <w:rFonts w:cs="Times New Roman"/>
          <w:snapToGrid w:val="0"/>
        </w:rPr>
        <w:tab/>
        <w:t>If punitive damages are awarded, the trial court shall review the jury</w:t>
      </w:r>
      <w:r w:rsidRPr="00967FA9">
        <w:rPr>
          <w:rFonts w:cs="Times New Roman"/>
          <w:snapToGrid w:val="0"/>
        </w:rPr>
        <w:t>’</w:t>
      </w:r>
      <w:r w:rsidRPr="0074340A">
        <w:rPr>
          <w:rFonts w:cs="Times New Roman"/>
          <w:snapToGrid w:val="0"/>
        </w:rPr>
        <w:t xml:space="preserve">s decision, considering all relevant evidence, including the factors identified in subsection (E), to ensure that the award is not excessive or the result of passion or prejudice.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(G)</w:t>
      </w:r>
      <w:r w:rsidRPr="0074340A">
        <w:rPr>
          <w:rFonts w:cs="Times New Roman"/>
          <w:snapToGrid w:val="0"/>
        </w:rPr>
        <w:tab/>
        <w:t xml:space="preserve">In an action with multiple defendants, a punitive damages award must be specific to each defendant, and each defendant is liable only for the amount of the award made against that defendant. </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Section 15</w:t>
      </w:r>
      <w:r>
        <w:rPr>
          <w:rFonts w:cs="Times New Roman"/>
          <w:snapToGrid w:val="0"/>
        </w:rPr>
        <w:noBreakHyphen/>
      </w:r>
      <w:r w:rsidRPr="0074340A">
        <w:rPr>
          <w:rFonts w:cs="Times New Roman"/>
          <w:snapToGrid w:val="0"/>
        </w:rPr>
        <w:t>32</w:t>
      </w:r>
      <w:r>
        <w:rPr>
          <w:rFonts w:cs="Times New Roman"/>
          <w:snapToGrid w:val="0"/>
        </w:rPr>
        <w:noBreakHyphen/>
      </w:r>
      <w:r w:rsidRPr="0074340A">
        <w:rPr>
          <w:rFonts w:cs="Times New Roman"/>
          <w:snapToGrid w:val="0"/>
        </w:rPr>
        <w:t>530</w:t>
      </w:r>
      <w:r>
        <w:rPr>
          <w:rFonts w:cs="Times New Roman"/>
          <w:snapToGrid w:val="0"/>
        </w:rPr>
        <w:t>.</w:t>
      </w:r>
      <w:r>
        <w:rPr>
          <w:rFonts w:cs="Times New Roman"/>
          <w:snapToGrid w:val="0"/>
        </w:rPr>
        <w:tab/>
      </w:r>
      <w:r w:rsidRPr="0074340A">
        <w:rPr>
          <w:rFonts w:cs="Times New Roman"/>
          <w:snapToGrid w:val="0"/>
        </w:rPr>
        <w:t>(A)</w:t>
      </w:r>
      <w:r w:rsidRPr="0074340A">
        <w:rPr>
          <w:rFonts w:cs="Times New Roman"/>
          <w:snapToGrid w:val="0"/>
        </w:rPr>
        <w:tab/>
        <w:t>Except as provided in subsections (B) and (C), an award of punitive damages may not exceed the greater of three times the amount of compensatory damages awarded to each claimant entitled thereto or the sum of five hundred thousand dollars.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(B)</w:t>
      </w:r>
      <w:r w:rsidRPr="0074340A">
        <w:rPr>
          <w:rFonts w:cs="Times New Roman"/>
          <w:snapToGrid w:val="0"/>
        </w:rPr>
        <w:tab/>
        <w:t>The limitation provided in subsection (A) may not be disclosed to the jury.  If the jury returns a verdict for punitive damages in excess of the maximum amount specified in subsection (A), the trial court should first determine whether:</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(1)</w:t>
      </w:r>
      <w:r w:rsidRPr="0074340A">
        <w:rPr>
          <w:rFonts w:cs="Times New Roman"/>
          <w:snapToGrid w:val="0"/>
        </w:rPr>
        <w:tab/>
        <w:t>the wrongful conduct proven under this section was motivated primarily by unreasonable financial gain and determines that the unreasonably dangerous nature of the conduct, together with the high likelihood of injury resulting from the conduct, was known or approved by the managing agent, director, officer, or the person responsible for making policy decisions on behalf of the defendant; or</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(2)</w:t>
      </w:r>
      <w:r w:rsidRPr="0074340A">
        <w:rPr>
          <w:rFonts w:cs="Times New Roman"/>
          <w:snapToGrid w:val="0"/>
        </w:rPr>
        <w:tab/>
        <w:t>the defendant</w:t>
      </w:r>
      <w:r w:rsidRPr="00967FA9">
        <w:rPr>
          <w:rFonts w:cs="Times New Roman"/>
          <w:snapToGrid w:val="0"/>
        </w:rPr>
        <w:t>’</w:t>
      </w:r>
      <w:r w:rsidRPr="0074340A">
        <w:rPr>
          <w:rFonts w:cs="Times New Roman"/>
          <w:snapToGrid w:val="0"/>
        </w:rPr>
        <w:t>s actions could subject the defendant to conviction of a felony and that act or course of conduct is a proximate cause of the plaintiff</w:t>
      </w:r>
      <w:r w:rsidRPr="00967FA9">
        <w:rPr>
          <w:rFonts w:cs="Times New Roman"/>
          <w:snapToGrid w:val="0"/>
        </w:rPr>
        <w:t>’</w:t>
      </w:r>
      <w:r w:rsidRPr="0074340A">
        <w:rPr>
          <w:rFonts w:cs="Times New Roman"/>
          <w:snapToGrid w:val="0"/>
        </w:rPr>
        <w:t>s damages;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sidRPr="0074340A">
        <w:rPr>
          <w:rFonts w:cs="Times New Roman"/>
          <w:snapToGrid w:val="0"/>
        </w:rPr>
        <w:t xml:space="preserve">If the trial court determines that either item (1) or (2) apply, then punitive damages must not exceed the greater of four times the amount of compensatory damages awarded to each claimant entitled thereto or the sum of two million dollars and, if necessary, the trial court shall reduce the award and enter judgment for punitive damages in the maximum amount allowed by this subsection.  If the trial court determines that neither item (1) or (2) apply, then the award of punitive damages shall be subject to the maximum amount provided by subsection (A) and the trial court shall reduce the award and enter judgment for punitive damages in the maximum amount allowed by subsection (A).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(C)</w:t>
      </w:r>
      <w:r w:rsidRPr="0074340A">
        <w:rPr>
          <w:rFonts w:cs="Times New Roman"/>
          <w:snapToGrid w:val="0"/>
        </w:rPr>
        <w:tab/>
        <w:t>However, when the trial court determines one of the following apply, there shall be no cap on punitive damages: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(1)</w:t>
      </w:r>
      <w:r w:rsidRPr="0074340A">
        <w:rPr>
          <w:rFonts w:cs="Times New Roman"/>
          <w:snapToGrid w:val="0"/>
        </w:rPr>
        <w:tab/>
        <w:t>at the time of injury the defendant had an intent to harm and determines that the defendant</w:t>
      </w:r>
      <w:r w:rsidRPr="00967FA9">
        <w:rPr>
          <w:rFonts w:cs="Times New Roman"/>
          <w:snapToGrid w:val="0"/>
        </w:rPr>
        <w:t>’</w:t>
      </w:r>
      <w:r w:rsidRPr="0074340A">
        <w:rPr>
          <w:rFonts w:cs="Times New Roman"/>
          <w:snapToGrid w:val="0"/>
        </w:rPr>
        <w:t>s conduct did in fact harm the claimant; or</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(2)</w:t>
      </w:r>
      <w:r w:rsidRPr="0074340A">
        <w:rPr>
          <w:rFonts w:cs="Times New Roman"/>
          <w:snapToGrid w:val="0"/>
        </w:rPr>
        <w:tab/>
        <w:t>the defendant has pled guilty to or been convicted of a felony arising out of the same act or course of conduct complained of by the plaintiff and that act or course of conduct is a proximate cause of the plaintiff</w:t>
      </w:r>
      <w:r w:rsidRPr="00967FA9">
        <w:rPr>
          <w:rFonts w:cs="Times New Roman"/>
          <w:snapToGrid w:val="0"/>
        </w:rPr>
        <w:t>’</w:t>
      </w:r>
      <w:r w:rsidRPr="0074340A">
        <w:rPr>
          <w:rFonts w:cs="Times New Roman"/>
          <w:snapToGrid w:val="0"/>
        </w:rPr>
        <w:t>s damages; or</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(3)</w:t>
      </w:r>
      <w:r w:rsidRPr="0074340A">
        <w:rPr>
          <w:rFonts w:cs="Times New Roman"/>
          <w:snapToGrid w:val="0"/>
        </w:rPr>
        <w:tab/>
        <w:t>the defendant acted or failed to act while under the influence of alcohol, drugs, other than lawfully prescribed drugs administered in accordance with a prescription, or any intentionally consumed glue, aerosol, or other toxic vapor to the degree that the defendant</w:t>
      </w:r>
      <w:r w:rsidRPr="00967FA9">
        <w:rPr>
          <w:rFonts w:cs="Times New Roman"/>
          <w:snapToGrid w:val="0"/>
        </w:rPr>
        <w:t>’</w:t>
      </w:r>
      <w:r w:rsidRPr="0074340A">
        <w:rPr>
          <w:rFonts w:cs="Times New Roman"/>
          <w:snapToGrid w:val="0"/>
        </w:rPr>
        <w:t>s judgment is substantially impaired.</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(D)</w:t>
      </w:r>
      <w:r w:rsidRPr="0074340A">
        <w:rPr>
          <w:rFonts w:cs="Times New Roman"/>
          <w:snapToGrid w:val="0"/>
        </w:rPr>
        <w:tab/>
        <w:t xml:space="preserve">At the end of each calendar year, the State Budget and Control Board, Board of Economic Advisors must determine the increase or decrease in the ratio of the Consumer Price Index to the index as of December </w:t>
      </w:r>
      <w:r>
        <w:rPr>
          <w:rFonts w:cs="Times New Roman"/>
          <w:snapToGrid w:val="0"/>
        </w:rPr>
        <w:t>thirty-one</w:t>
      </w:r>
      <w:r w:rsidRPr="0074340A">
        <w:rPr>
          <w:rFonts w:cs="Times New Roman"/>
          <w:snapToGrid w:val="0"/>
        </w:rPr>
        <w:t xml:space="preserve"> of the previous year, and the maximum amount recoverable for punitive damages pursuant to subsection (A) must be increased or decreased accordingly.  As soon as practicable after this adjustment is calculated, the Director of the State Budget and Control Board shall submit the revised maximum amount recoverable for punitive damages to the State Register for publication, pursuant to Section 1</w:t>
      </w:r>
      <w:r>
        <w:rPr>
          <w:rFonts w:cs="Times New Roman"/>
          <w:snapToGrid w:val="0"/>
        </w:rPr>
        <w:noBreakHyphen/>
      </w:r>
      <w:r w:rsidRPr="0074340A">
        <w:rPr>
          <w:rFonts w:cs="Times New Roman"/>
          <w:snapToGrid w:val="0"/>
        </w:rPr>
        <w:t>23</w:t>
      </w:r>
      <w:r>
        <w:rPr>
          <w:rFonts w:cs="Times New Roman"/>
          <w:snapToGrid w:val="0"/>
        </w:rPr>
        <w:noBreakHyphen/>
      </w:r>
      <w:r w:rsidRPr="0074340A">
        <w:rPr>
          <w:rFonts w:cs="Times New Roman"/>
          <w:snapToGrid w:val="0"/>
        </w:rPr>
        <w:t xml:space="preserve">40(2), and the revised maximum amount recoverable for punitive damages becomes effective upon publication in the State Register. For purposes of this subsection, </w:t>
      </w:r>
      <w:r w:rsidRPr="00967FA9">
        <w:rPr>
          <w:rFonts w:cs="Times New Roman"/>
          <w:snapToGrid w:val="0"/>
        </w:rPr>
        <w:t>‘</w:t>
      </w:r>
      <w:r w:rsidRPr="0074340A">
        <w:rPr>
          <w:rFonts w:cs="Times New Roman"/>
          <w:snapToGrid w:val="0"/>
        </w:rPr>
        <w:t>Consumer Price Index</w:t>
      </w:r>
      <w:r w:rsidRPr="00967FA9">
        <w:rPr>
          <w:rFonts w:cs="Times New Roman"/>
          <w:snapToGrid w:val="0"/>
        </w:rPr>
        <w:t>’</w:t>
      </w:r>
      <w:r w:rsidRPr="0074340A">
        <w:rPr>
          <w:rFonts w:cs="Times New Roman"/>
          <w:snapToGrid w:val="0"/>
        </w:rPr>
        <w:t xml:space="preserve"> means the Consumer Price Index for All Urban Consumers as published by the United States Department of Labor, Bureau of Labor Statistics.</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Section 15</w:t>
      </w:r>
      <w:r>
        <w:rPr>
          <w:rFonts w:cs="Times New Roman"/>
          <w:snapToGrid w:val="0"/>
        </w:rPr>
        <w:noBreakHyphen/>
      </w:r>
      <w:r w:rsidRPr="0074340A">
        <w:rPr>
          <w:rFonts w:cs="Times New Roman"/>
          <w:snapToGrid w:val="0"/>
        </w:rPr>
        <w:t>32</w:t>
      </w:r>
      <w:r>
        <w:rPr>
          <w:rFonts w:cs="Times New Roman"/>
          <w:snapToGrid w:val="0"/>
        </w:rPr>
        <w:noBreakHyphen/>
      </w:r>
      <w:r w:rsidRPr="0074340A">
        <w:rPr>
          <w:rFonts w:cs="Times New Roman"/>
          <w:snapToGrid w:val="0"/>
        </w:rPr>
        <w:t>540.</w:t>
      </w:r>
      <w:r w:rsidRPr="0074340A">
        <w:rPr>
          <w:rFonts w:cs="Times New Roman"/>
          <w:snapToGrid w:val="0"/>
        </w:rPr>
        <w:tab/>
      </w:r>
      <w:r w:rsidRPr="0074340A">
        <w:rPr>
          <w:rFonts w:cs="Times New Roman"/>
          <w:snapToGrid w:val="0"/>
        </w:rPr>
        <w:tab/>
        <w:t>The provisions of this article do not affect any right, privilege, or provision of the South Carolina Tort Claims Act pursuant to Chapter 78, Title 15 or the South Carolina Solicitation of Charitable Funds Act as contained in Chapter 56, Title 33.”</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967FA9"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Circuit solicitors authorized to employ outside counsel</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SECTION</w:t>
      </w:r>
      <w:r w:rsidRPr="0074340A">
        <w:rPr>
          <w:rFonts w:cs="Times New Roman"/>
          <w:snapToGrid w:val="0"/>
        </w:rPr>
        <w:tab/>
        <w:t>3.</w:t>
      </w:r>
      <w:r w:rsidRPr="0074340A">
        <w:rPr>
          <w:rFonts w:cs="Times New Roman"/>
          <w:snapToGrid w:val="0"/>
        </w:rPr>
        <w:tab/>
        <w:t>Article 5, Chapter 7, Title 1 of the 1976 Code is amended by adding:</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“Section 1</w:t>
      </w:r>
      <w:r>
        <w:rPr>
          <w:rFonts w:cs="Times New Roman"/>
          <w:snapToGrid w:val="0"/>
        </w:rPr>
        <w:noBreakHyphen/>
      </w:r>
      <w:r w:rsidRPr="0074340A">
        <w:rPr>
          <w:rFonts w:cs="Times New Roman"/>
          <w:snapToGrid w:val="0"/>
        </w:rPr>
        <w:t>7</w:t>
      </w:r>
      <w:r>
        <w:rPr>
          <w:rFonts w:cs="Times New Roman"/>
          <w:snapToGrid w:val="0"/>
        </w:rPr>
        <w:noBreakHyphen/>
      </w:r>
      <w:r w:rsidRPr="0074340A">
        <w:rPr>
          <w:rFonts w:cs="Times New Roman"/>
          <w:snapToGrid w:val="0"/>
        </w:rPr>
        <w:t>750.</w:t>
      </w:r>
      <w:r w:rsidRPr="0074340A">
        <w:rPr>
          <w:rFonts w:cs="Times New Roman"/>
          <w:snapToGrid w:val="0"/>
        </w:rPr>
        <w:tab/>
        <w:t>A circuit solicitor may employ outside counsel, in his discretion, without approval of the Attorney General, for civil forfeiture proceedings arising from criminal activity or from estreatment of bail bonds.  In any other matter, the circuit solicitor must obtain written approval of the Attorney General prior to retaining counsel to or filing a civil cause of action.”</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967FA9"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Automobile insurance coverage, release of coverage information upon written request of claimant’s attorney</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SECTION</w:t>
      </w:r>
      <w:r w:rsidRPr="0074340A">
        <w:rPr>
          <w:rFonts w:cs="Times New Roman"/>
          <w:snapToGrid w:val="0"/>
        </w:rPr>
        <w:tab/>
        <w:t>4.</w:t>
      </w:r>
      <w:r w:rsidRPr="0074340A">
        <w:rPr>
          <w:rFonts w:cs="Times New Roman"/>
          <w:snapToGrid w:val="0"/>
        </w:rPr>
        <w:tab/>
        <w:t xml:space="preserve">Article </w:t>
      </w:r>
      <w:r>
        <w:rPr>
          <w:rFonts w:cs="Times New Roman"/>
          <w:snapToGrid w:val="0"/>
        </w:rPr>
        <w:t>3</w:t>
      </w:r>
      <w:r w:rsidRPr="0074340A">
        <w:rPr>
          <w:rFonts w:cs="Times New Roman"/>
          <w:snapToGrid w:val="0"/>
        </w:rPr>
        <w:t xml:space="preserve">, Chapter 77, Title 38 of the 1976 Code is amended by adding: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“Section 38</w:t>
      </w:r>
      <w:r>
        <w:rPr>
          <w:rFonts w:cs="Times New Roman"/>
          <w:snapToGrid w:val="0"/>
        </w:rPr>
        <w:noBreakHyphen/>
      </w:r>
      <w:r w:rsidRPr="0074340A">
        <w:rPr>
          <w:rFonts w:cs="Times New Roman"/>
          <w:snapToGrid w:val="0"/>
        </w:rPr>
        <w:t>77</w:t>
      </w:r>
      <w:r>
        <w:rPr>
          <w:rFonts w:cs="Times New Roman"/>
          <w:snapToGrid w:val="0"/>
        </w:rPr>
        <w:noBreakHyphen/>
      </w:r>
      <w:r w:rsidRPr="0074340A">
        <w:rPr>
          <w:rFonts w:cs="Times New Roman"/>
          <w:snapToGrid w:val="0"/>
        </w:rPr>
        <w:t>250.</w:t>
      </w:r>
      <w:r w:rsidRPr="0074340A">
        <w:rPr>
          <w:rFonts w:cs="Times New Roman"/>
          <w:snapToGrid w:val="0"/>
        </w:rPr>
        <w:tab/>
        <w:t>(A)</w:t>
      </w:r>
      <w:r w:rsidRPr="0074340A">
        <w:rPr>
          <w:rFonts w:cs="Times New Roman"/>
          <w:snapToGrid w:val="0"/>
        </w:rPr>
        <w:tab/>
        <w:t>Every insurer providing automobile insurance coverage in this State and which is or may be liable to pay all or a part of any claim shall provide, within thirty days of receiving a written request from the claimant</w:t>
      </w:r>
      <w:r w:rsidRPr="00967FA9">
        <w:rPr>
          <w:rFonts w:cs="Times New Roman"/>
          <w:snapToGrid w:val="0"/>
        </w:rPr>
        <w:t>’</w:t>
      </w:r>
      <w:r w:rsidRPr="0074340A">
        <w:rPr>
          <w:rFonts w:cs="Times New Roman"/>
          <w:snapToGrid w:val="0"/>
        </w:rPr>
        <w:t>s attorney, a statement, under oath, of a corporate officer or the insurer</w:t>
      </w:r>
      <w:r w:rsidRPr="00967FA9">
        <w:rPr>
          <w:rFonts w:cs="Times New Roman"/>
          <w:snapToGrid w:val="0"/>
        </w:rPr>
        <w:t>’</w:t>
      </w:r>
      <w:r w:rsidRPr="0074340A">
        <w:rPr>
          <w:rFonts w:cs="Times New Roman"/>
          <w:snapToGrid w:val="0"/>
        </w:rPr>
        <w:t>s claims manager stating with regard to each known policy of nonfleet private passenger insurance issued by it, the name of the insurer, the name of each insured, and the limits of coverage.  The insurer may provide a copy of the declaration page of each such policy in lieu of providing such information. The request shall set forth under oath the specific nature of the claim asserted and shall be mailed to the insurer by certified mail or statutory overnight delivery.  The request</w:t>
      </w:r>
      <w:r>
        <w:rPr>
          <w:rFonts w:cs="Times New Roman"/>
          <w:snapToGrid w:val="0"/>
        </w:rPr>
        <w:t xml:space="preserve"> also</w:t>
      </w:r>
      <w:r w:rsidRPr="0074340A">
        <w:rPr>
          <w:rFonts w:cs="Times New Roman"/>
          <w:snapToGrid w:val="0"/>
        </w:rPr>
        <w:t xml:space="preserve"> must state that the attorney is authorized to make such a request and must be accompanied by a copy of the incident report from which the claim is derived.</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(B)</w:t>
      </w:r>
      <w:r w:rsidRPr="0074340A">
        <w:rPr>
          <w:rFonts w:cs="Times New Roman"/>
          <w:snapToGrid w:val="0"/>
        </w:rPr>
        <w:tab/>
        <w:t>If the request provided in subsection (A) contains information insufficient to allow compliance, the insurer upon whom the request was made may so state in writing, stating specifically what additional information is needed and such compliance shall constitute compliance with this section.</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(C)</w:t>
      </w:r>
      <w:r w:rsidRPr="0074340A">
        <w:rPr>
          <w:rFonts w:cs="Times New Roman"/>
          <w:snapToGrid w:val="0"/>
        </w:rPr>
        <w:tab/>
        <w:t>The information provided to a claimant or his attorney as required by subsection (A) of this section shall not create a waiver of any defenses to coverage available to the insurer and shall not be admissible in evidence.</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(D)</w:t>
      </w:r>
      <w:r w:rsidRPr="0074340A">
        <w:rPr>
          <w:rFonts w:cs="Times New Roman"/>
          <w:snapToGrid w:val="0"/>
        </w:rPr>
        <w:tab/>
        <w:t>The information provided to a claimant or his attorney as required by subsection (A) shall be amended upon the discovery of facts inconsistent with or in addition to the information provided.</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(E)</w:t>
      </w:r>
      <w:r w:rsidRPr="0074340A">
        <w:rPr>
          <w:rFonts w:cs="Times New Roman"/>
          <w:snapToGrid w:val="0"/>
        </w:rPr>
        <w:tab/>
        <w:t>The provisions of this section do not require disclosure of limits for fleet policy limits, umbrella coverages, or excess coverages.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(F)</w:t>
      </w:r>
      <w:r w:rsidRPr="0074340A">
        <w:rPr>
          <w:rFonts w:cs="Times New Roman"/>
          <w:snapToGrid w:val="0"/>
        </w:rPr>
        <w:tab/>
        <w:t>The information received pursuant to this section is confidential and must not be disclosed to any outside party.  Upon final disposition of the case, the claimant</w:t>
      </w:r>
      <w:r w:rsidRPr="00967FA9">
        <w:rPr>
          <w:rFonts w:cs="Times New Roman"/>
          <w:snapToGrid w:val="0"/>
        </w:rPr>
        <w:t>’</w:t>
      </w:r>
      <w:r w:rsidRPr="0074340A">
        <w:rPr>
          <w:rFonts w:cs="Times New Roman"/>
          <w:snapToGrid w:val="0"/>
        </w:rPr>
        <w:t>s attorney must destroy all information received pursuant to this section. The court must impose sanctions for a violation of this subsection.”</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967FA9"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Limitations on actions based on unsafe or defective improvements to real property, evidence of fraud, negligence, gross negligence, or recklessness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SECTION</w:t>
      </w:r>
      <w:r w:rsidRPr="0074340A">
        <w:rPr>
          <w:rFonts w:cs="Times New Roman"/>
          <w:snapToGrid w:val="0"/>
        </w:rPr>
        <w:tab/>
        <w:t>5.</w:t>
      </w:r>
      <w:r w:rsidRPr="0074340A">
        <w:rPr>
          <w:rFonts w:cs="Times New Roman"/>
          <w:snapToGrid w:val="0"/>
        </w:rPr>
        <w:tab/>
        <w:t>Section 15</w:t>
      </w:r>
      <w:r>
        <w:rPr>
          <w:rFonts w:cs="Times New Roman"/>
          <w:snapToGrid w:val="0"/>
        </w:rPr>
        <w:noBreakHyphen/>
      </w:r>
      <w:r w:rsidRPr="0074340A">
        <w:rPr>
          <w:rFonts w:cs="Times New Roman"/>
          <w:snapToGrid w:val="0"/>
        </w:rPr>
        <w:t>3</w:t>
      </w:r>
      <w:r>
        <w:rPr>
          <w:rFonts w:cs="Times New Roman"/>
          <w:snapToGrid w:val="0"/>
        </w:rPr>
        <w:noBreakHyphen/>
      </w:r>
      <w:r w:rsidRPr="0074340A">
        <w:rPr>
          <w:rFonts w:cs="Times New Roman"/>
          <w:snapToGrid w:val="0"/>
        </w:rPr>
        <w:t>670 of the 1976 Code is amended to read:</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“Section 15</w:t>
      </w:r>
      <w:r>
        <w:rPr>
          <w:rFonts w:cs="Times New Roman"/>
          <w:snapToGrid w:val="0"/>
        </w:rPr>
        <w:noBreakHyphen/>
      </w:r>
      <w:r w:rsidRPr="0074340A">
        <w:rPr>
          <w:rFonts w:cs="Times New Roman"/>
          <w:snapToGrid w:val="0"/>
        </w:rPr>
        <w:t>3</w:t>
      </w:r>
      <w:r>
        <w:rPr>
          <w:rFonts w:cs="Times New Roman"/>
          <w:snapToGrid w:val="0"/>
        </w:rPr>
        <w:noBreakHyphen/>
      </w:r>
      <w:r w:rsidRPr="0074340A">
        <w:rPr>
          <w:rFonts w:cs="Times New Roman"/>
          <w:snapToGrid w:val="0"/>
        </w:rPr>
        <w:t>670.</w:t>
      </w:r>
      <w:r w:rsidRPr="0074340A">
        <w:rPr>
          <w:rFonts w:cs="Times New Roman"/>
          <w:snapToGrid w:val="0"/>
        </w:rPr>
        <w:tab/>
        <w:t>(A)</w:t>
      </w:r>
      <w:r w:rsidRPr="0074340A">
        <w:rPr>
          <w:rFonts w:cs="Times New Roman"/>
          <w:snapToGrid w:val="0"/>
        </w:rPr>
        <w:tab/>
        <w:t>The limitation provided by Sections 15</w:t>
      </w:r>
      <w:r>
        <w:rPr>
          <w:rFonts w:cs="Times New Roman"/>
          <w:snapToGrid w:val="0"/>
        </w:rPr>
        <w:noBreakHyphen/>
      </w:r>
      <w:r w:rsidRPr="0074340A">
        <w:rPr>
          <w:rFonts w:cs="Times New Roman"/>
          <w:snapToGrid w:val="0"/>
        </w:rPr>
        <w:t>3</w:t>
      </w:r>
      <w:r>
        <w:rPr>
          <w:rFonts w:cs="Times New Roman"/>
          <w:snapToGrid w:val="0"/>
        </w:rPr>
        <w:noBreakHyphen/>
      </w:r>
      <w:r w:rsidRPr="0074340A">
        <w:rPr>
          <w:rFonts w:cs="Times New Roman"/>
          <w:snapToGrid w:val="0"/>
        </w:rPr>
        <w:t>640 through 15</w:t>
      </w:r>
      <w:r>
        <w:rPr>
          <w:rFonts w:cs="Times New Roman"/>
          <w:snapToGrid w:val="0"/>
        </w:rPr>
        <w:noBreakHyphen/>
      </w:r>
      <w:r w:rsidRPr="0074340A">
        <w:rPr>
          <w:rFonts w:cs="Times New Roman"/>
          <w:snapToGrid w:val="0"/>
        </w:rPr>
        <w:t>3</w:t>
      </w:r>
      <w:r>
        <w:rPr>
          <w:rFonts w:cs="Times New Roman"/>
          <w:snapToGrid w:val="0"/>
        </w:rPr>
        <w:noBreakHyphen/>
      </w:r>
      <w:r w:rsidRPr="0074340A">
        <w:rPr>
          <w:rFonts w:cs="Times New Roman"/>
          <w:snapToGrid w:val="0"/>
        </w:rPr>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Pr>
          <w:rFonts w:cs="Times New Roman"/>
          <w:snapToGrid w:val="0"/>
        </w:rPr>
        <w:noBreakHyphen/>
      </w:r>
      <w:r w:rsidRPr="0074340A">
        <w:rPr>
          <w:rFonts w:cs="Times New Roman"/>
          <w:snapToGrid w:val="0"/>
        </w:rPr>
        <w:t>3</w:t>
      </w:r>
      <w:r>
        <w:rPr>
          <w:rFonts w:cs="Times New Roman"/>
          <w:snapToGrid w:val="0"/>
        </w:rPr>
        <w:noBreakHyphen/>
      </w:r>
      <w:r w:rsidRPr="0074340A">
        <w:rPr>
          <w:rFonts w:cs="Times New Roman"/>
          <w:snapToGrid w:val="0"/>
        </w:rPr>
        <w:t>640 through 15</w:t>
      </w:r>
      <w:r>
        <w:rPr>
          <w:rFonts w:cs="Times New Roman"/>
          <w:snapToGrid w:val="0"/>
        </w:rPr>
        <w:noBreakHyphen/>
      </w:r>
      <w:r w:rsidRPr="0074340A">
        <w:rPr>
          <w:rFonts w:cs="Times New Roman"/>
          <w:snapToGrid w:val="0"/>
        </w:rPr>
        <w:t>3</w:t>
      </w:r>
      <w:r>
        <w:rPr>
          <w:rFonts w:cs="Times New Roman"/>
          <w:snapToGrid w:val="0"/>
        </w:rPr>
        <w:noBreakHyphen/>
      </w:r>
      <w:r w:rsidRPr="0074340A">
        <w:rPr>
          <w:rFonts w:cs="Times New Roman"/>
          <w:snapToGrid w:val="0"/>
        </w:rPr>
        <w:t xml:space="preserve">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(B)</w:t>
      </w:r>
      <w:r w:rsidRPr="0074340A">
        <w:rPr>
          <w:rFonts w:cs="Times New Roman"/>
          <w:snapToGrid w:val="0"/>
        </w:rPr>
        <w:tab/>
        <w:t>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t>(C)</w:t>
      </w:r>
      <w:r w:rsidRPr="0074340A">
        <w:rPr>
          <w:rFonts w:cs="Times New Roman"/>
          <w:snapToGrid w:val="0"/>
        </w:rPr>
        <w:tab/>
        <w:t>The limitation provided by Section 15</w:t>
      </w:r>
      <w:r>
        <w:rPr>
          <w:rFonts w:cs="Times New Roman"/>
          <w:snapToGrid w:val="0"/>
        </w:rPr>
        <w:noBreakHyphen/>
      </w:r>
      <w:r w:rsidRPr="0074340A">
        <w:rPr>
          <w:rFonts w:cs="Times New Roman"/>
          <w:snapToGrid w:val="0"/>
        </w:rPr>
        <w:t>3</w:t>
      </w:r>
      <w:r>
        <w:rPr>
          <w:rFonts w:cs="Times New Roman"/>
          <w:snapToGrid w:val="0"/>
        </w:rPr>
        <w:noBreakHyphen/>
      </w:r>
      <w:r w:rsidRPr="0074340A">
        <w:rPr>
          <w:rFonts w:cs="Times New Roman"/>
          <w:snapToGrid w:val="0"/>
        </w:rPr>
        <w:t>640 may not be asserted as a defense to an action for personal injury, including a personal injury resulting in death, or property damage which is: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(1)</w:t>
      </w:r>
      <w:r w:rsidRPr="0074340A">
        <w:rPr>
          <w:rFonts w:cs="Times New Roman"/>
          <w:snapToGrid w:val="0"/>
        </w:rPr>
        <w:tab/>
        <w:t xml:space="preserve">by its nature not discoverable in the exercise of reasonable diligence at the time of its occurrence; and </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t>(2)</w:t>
      </w:r>
      <w:r w:rsidRPr="0074340A">
        <w:rPr>
          <w:rFonts w:cs="Times New Roman"/>
          <w:snapToGrid w:val="0"/>
        </w:rPr>
        <w:tab/>
        <w:t>the result of ingestion of or exposure to some toxic or harmful or injury producing substance, element, or particle, including radiation, over a period of time as opposed to resulting from a sudden and fortuitous trauma.”</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12F37"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Limitations on appeal bonds</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SECTION</w:t>
      </w:r>
      <w:r w:rsidRPr="0074340A">
        <w:rPr>
          <w:rFonts w:cs="Times New Roman"/>
          <w:snapToGrid w:val="0"/>
        </w:rPr>
        <w:tab/>
        <w:t>6.</w:t>
      </w:r>
      <w:r w:rsidRPr="0074340A">
        <w:rPr>
          <w:rFonts w:cs="Times New Roman"/>
          <w:snapToGrid w:val="0"/>
        </w:rPr>
        <w:tab/>
        <w:t>Section 18</w:t>
      </w:r>
      <w:r>
        <w:rPr>
          <w:rFonts w:cs="Times New Roman"/>
          <w:snapToGrid w:val="0"/>
        </w:rPr>
        <w:noBreakHyphen/>
      </w:r>
      <w:r w:rsidRPr="0074340A">
        <w:rPr>
          <w:rFonts w:cs="Times New Roman"/>
          <w:snapToGrid w:val="0"/>
        </w:rPr>
        <w:t>9</w:t>
      </w:r>
      <w:r>
        <w:rPr>
          <w:rFonts w:cs="Times New Roman"/>
          <w:snapToGrid w:val="0"/>
        </w:rPr>
        <w:noBreakHyphen/>
      </w:r>
      <w:r w:rsidRPr="0074340A">
        <w:rPr>
          <w:rFonts w:cs="Times New Roman"/>
          <w:snapToGrid w:val="0"/>
        </w:rPr>
        <w:t>130(A)(1) of the 1976 Code, as last amended by Act 216 of 2004, is further amended to read:</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4340A">
        <w:rPr>
          <w:rFonts w:cs="Times New Roman"/>
          <w:snapToGrid w:val="0"/>
        </w:rPr>
        <w:tab/>
      </w:r>
      <w:r w:rsidRPr="0074340A">
        <w:rPr>
          <w:rFonts w:cs="Times New Roman"/>
          <w:snapToGrid w:val="0"/>
        </w:rPr>
        <w:tab/>
        <w:t>“(1)</w:t>
      </w:r>
      <w:r w:rsidRPr="0074340A">
        <w:rPr>
          <w:rFonts w:cs="Times New Roman"/>
          <w:snapToGrid w:val="0"/>
        </w:rPr>
        <w:tab/>
        <w:t>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r>
      <w:r w:rsidRPr="0074340A">
        <w:rPr>
          <w:rFonts w:cs="Times New Roman"/>
          <w:snapToGrid w:val="0"/>
        </w:rPr>
        <w:tab/>
        <w:t>(a)</w:t>
      </w:r>
      <w:r w:rsidRPr="0074340A">
        <w:rPr>
          <w:rFonts w:cs="Times New Roman"/>
          <w:snapToGrid w:val="0"/>
        </w:rPr>
        <w:tab/>
        <w:t>twenty</w:t>
      </w:r>
      <w:r>
        <w:rPr>
          <w:rFonts w:cs="Times New Roman"/>
          <w:snapToGrid w:val="0"/>
        </w:rPr>
        <w:noBreakHyphen/>
      </w:r>
      <w:r w:rsidRPr="0074340A">
        <w:rPr>
          <w:rFonts w:cs="Times New Roman"/>
          <w:snapToGrid w:val="0"/>
        </w:rPr>
        <w:t>five million dollars, whichever is less, for a business entity that employs more than fifty persons and has gross revenues exceeding five million dollars for the previous tax year; or</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4340A">
        <w:rPr>
          <w:rFonts w:cs="Times New Roman"/>
          <w:snapToGrid w:val="0"/>
        </w:rPr>
        <w:tab/>
      </w:r>
      <w:r w:rsidRPr="0074340A">
        <w:rPr>
          <w:rFonts w:cs="Times New Roman"/>
          <w:snapToGrid w:val="0"/>
        </w:rPr>
        <w:tab/>
      </w:r>
      <w:r w:rsidRPr="0074340A">
        <w:rPr>
          <w:rFonts w:cs="Times New Roman"/>
          <w:snapToGrid w:val="0"/>
        </w:rPr>
        <w:tab/>
        <w:t>(b)</w:t>
      </w:r>
      <w:r w:rsidRPr="0074340A">
        <w:rPr>
          <w:rFonts w:cs="Times New Roman"/>
          <w:snapToGrid w:val="0"/>
        </w:rPr>
        <w:tab/>
        <w:t>one million dollars, whichever is less, for all other entities or individuals.”</w:t>
      </w:r>
    </w:p>
    <w:p w:rsidR="00BE4EB6"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12F37"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4340A">
        <w:rPr>
          <w:rFonts w:cs="Times New Roman"/>
          <w:snapToGrid w:val="0"/>
        </w:rPr>
        <w:t>SECTION</w:t>
      </w:r>
      <w:r w:rsidRPr="0074340A">
        <w:rPr>
          <w:rFonts w:cs="Times New Roman"/>
          <w:snapToGrid w:val="0"/>
        </w:rPr>
        <w:tab/>
        <w:t>7.</w:t>
      </w:r>
      <w:r w:rsidRPr="0074340A">
        <w:rPr>
          <w:rFonts w:cs="Times New Roman"/>
          <w:snapToGrid w:val="0"/>
        </w:rPr>
        <w:tab/>
        <w:t>This act takes effect January 1, 2012, and applies to all actions that accrue on or after the effective date except the provisions of SECTION 3 do not apply to any matter pending on the effective date of this act.</w:t>
      </w:r>
    </w:p>
    <w:p w:rsidR="00BE4EB6" w:rsidRPr="0074340A" w:rsidRDefault="00BE4EB6"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EB6" w:rsidRDefault="00BE4EB6" w:rsidP="00BE4EB6">
      <w:pPr>
        <w:tabs>
          <w:tab w:val="left" w:pos="1440"/>
          <w:tab w:val="left" w:pos="1800"/>
          <w:tab w:val="left" w:pos="2880"/>
        </w:tabs>
        <w:rPr>
          <w:color w:val="000000" w:themeColor="text1"/>
        </w:rPr>
      </w:pPr>
    </w:p>
    <w:p w:rsidR="00BE4EB6" w:rsidRDefault="00BE4EB6" w:rsidP="00BE4EB6">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BE4EB6" w:rsidRDefault="00BE4EB6" w:rsidP="00BE4EB6">
      <w:pPr>
        <w:tabs>
          <w:tab w:val="left" w:pos="1440"/>
          <w:tab w:val="left" w:pos="1800"/>
          <w:tab w:val="left" w:pos="2880"/>
        </w:tabs>
        <w:rPr>
          <w:color w:val="000000" w:themeColor="text1"/>
        </w:rPr>
      </w:pPr>
    </w:p>
    <w:p w:rsidR="00BE4EB6" w:rsidRDefault="00BE4EB6" w:rsidP="00BE4EB6">
      <w:pPr>
        <w:tabs>
          <w:tab w:val="left" w:pos="1440"/>
          <w:tab w:val="left" w:pos="1800"/>
          <w:tab w:val="left" w:pos="2880"/>
        </w:tabs>
        <w:rPr>
          <w:color w:val="000000" w:themeColor="text1"/>
        </w:rPr>
      </w:pPr>
      <w:r>
        <w:rPr>
          <w:color w:val="000000" w:themeColor="text1"/>
        </w:rPr>
        <w:t>Approved the 14</w:t>
      </w:r>
      <w:r w:rsidRPr="00121CC6">
        <w:rPr>
          <w:color w:val="000000" w:themeColor="text1"/>
          <w:vertAlign w:val="superscript"/>
        </w:rPr>
        <w:t>th</w:t>
      </w:r>
      <w:r>
        <w:rPr>
          <w:color w:val="000000" w:themeColor="text1"/>
        </w:rPr>
        <w:t xml:space="preserve"> day of June, 2011. </w:t>
      </w:r>
    </w:p>
    <w:p w:rsidR="00BE4EB6" w:rsidRDefault="00BE4EB6" w:rsidP="00BE4EB6">
      <w:pPr>
        <w:tabs>
          <w:tab w:val="left" w:pos="1440"/>
          <w:tab w:val="left" w:pos="1800"/>
          <w:tab w:val="left" w:pos="2880"/>
        </w:tabs>
        <w:jc w:val="center"/>
        <w:rPr>
          <w:color w:val="000000" w:themeColor="text1"/>
        </w:rPr>
      </w:pPr>
    </w:p>
    <w:p w:rsidR="00BE4EB6" w:rsidRDefault="00BE4EB6" w:rsidP="00BE4EB6">
      <w:pPr>
        <w:tabs>
          <w:tab w:val="left" w:pos="1440"/>
          <w:tab w:val="left" w:pos="1800"/>
          <w:tab w:val="left" w:pos="2880"/>
        </w:tabs>
        <w:jc w:val="center"/>
        <w:rPr>
          <w:color w:val="000000" w:themeColor="text1"/>
        </w:rPr>
      </w:pPr>
      <w:r>
        <w:rPr>
          <w:color w:val="000000" w:themeColor="text1"/>
        </w:rPr>
        <w:t>__________</w:t>
      </w:r>
    </w:p>
    <w:p w:rsidR="008836A5" w:rsidRPr="002372BF" w:rsidRDefault="008836A5" w:rsidP="00BE4E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372BF" w:rsidSect="008E399C">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A12" w:rsidRDefault="00720A12" w:rsidP="007D5FAC">
      <w:r>
        <w:separator/>
      </w:r>
    </w:p>
  </w:endnote>
  <w:endnote w:type="continuationSeparator" w:id="0">
    <w:p w:rsidR="00720A12" w:rsidRDefault="00720A1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9C" w:rsidRPr="008E399C" w:rsidRDefault="008E399C" w:rsidP="008E399C">
    <w:pPr>
      <w:pStyle w:val="Footer"/>
      <w:tabs>
        <w:tab w:val="clear" w:pos="4680"/>
        <w:tab w:val="clear" w:pos="9360"/>
        <w:tab w:val="center" w:pos="3168"/>
      </w:tabs>
      <w:spacing w:before="120"/>
    </w:pPr>
    <w:r>
      <w:tab/>
    </w:r>
    <w:r w:rsidR="000C5DD4">
      <w:fldChar w:fldCharType="begin"/>
    </w:r>
    <w:r w:rsidR="002549D6">
      <w:instrText xml:space="preserve"> PAGE  \* MERGEFORMAT </w:instrText>
    </w:r>
    <w:r w:rsidR="000C5DD4">
      <w:fldChar w:fldCharType="separate"/>
    </w:r>
    <w:r w:rsidR="00BE4EB6">
      <w:rPr>
        <w:noProof/>
      </w:rPr>
      <w:t>7</w:t>
    </w:r>
    <w:r w:rsidR="000C5D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9C" w:rsidRDefault="008E39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A12" w:rsidRDefault="00720A12" w:rsidP="007D5FAC">
      <w:r>
        <w:separator/>
      </w:r>
    </w:p>
  </w:footnote>
  <w:footnote w:type="continuationSeparator" w:id="0">
    <w:p w:rsidR="00720A12" w:rsidRDefault="00720A1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375"/>
    <w:docVar w:name="ActSecretary" w:val="Sanders"/>
    <w:docVar w:name="ActSIdno" w:val="(000)  3375AHB11"/>
    <w:docVar w:name="clipname" w:val="3375AHB11"/>
    <w:docVar w:name="dvBillNumber" w:val="3375"/>
    <w:docVar w:name="dvBillNumberPrefix" w:val="H"/>
    <w:docVar w:name="dvOriginalBody" w:val="House"/>
    <w:docVar w:name="HOUSEACTFULLPATH" w:val="L:\COUNCIL\ACTS\3375AHB11.DOCX"/>
    <w:docVar w:name="OrigHOUSEBillNo" w:val="3375"/>
    <w:docVar w:name="WhatActtype" w:val="AN ACT"/>
  </w:docVars>
  <w:rsids>
    <w:rsidRoot w:val="003A5290"/>
    <w:rsid w:val="00002DE0"/>
    <w:rsid w:val="00020349"/>
    <w:rsid w:val="00020977"/>
    <w:rsid w:val="00021B0B"/>
    <w:rsid w:val="00040C05"/>
    <w:rsid w:val="0004579B"/>
    <w:rsid w:val="00050504"/>
    <w:rsid w:val="00051B4F"/>
    <w:rsid w:val="00060E60"/>
    <w:rsid w:val="000673E4"/>
    <w:rsid w:val="0007088D"/>
    <w:rsid w:val="000731E9"/>
    <w:rsid w:val="00074565"/>
    <w:rsid w:val="00076A1A"/>
    <w:rsid w:val="00077DA3"/>
    <w:rsid w:val="00081300"/>
    <w:rsid w:val="00085C37"/>
    <w:rsid w:val="00091135"/>
    <w:rsid w:val="00092EE6"/>
    <w:rsid w:val="00096A9B"/>
    <w:rsid w:val="00096BDA"/>
    <w:rsid w:val="000A6151"/>
    <w:rsid w:val="000B316D"/>
    <w:rsid w:val="000B56CB"/>
    <w:rsid w:val="000B742F"/>
    <w:rsid w:val="000C401F"/>
    <w:rsid w:val="000C55D6"/>
    <w:rsid w:val="000C5DD4"/>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7582"/>
    <w:rsid w:val="001626DB"/>
    <w:rsid w:val="00170F30"/>
    <w:rsid w:val="00172771"/>
    <w:rsid w:val="001747A9"/>
    <w:rsid w:val="00174B1C"/>
    <w:rsid w:val="001750EA"/>
    <w:rsid w:val="001754BB"/>
    <w:rsid w:val="0018353C"/>
    <w:rsid w:val="001860C8"/>
    <w:rsid w:val="00195E36"/>
    <w:rsid w:val="00195F4E"/>
    <w:rsid w:val="001A646B"/>
    <w:rsid w:val="001A75A0"/>
    <w:rsid w:val="001B201B"/>
    <w:rsid w:val="001B65B6"/>
    <w:rsid w:val="001B78F9"/>
    <w:rsid w:val="001B7FF5"/>
    <w:rsid w:val="001C390F"/>
    <w:rsid w:val="001C603D"/>
    <w:rsid w:val="001C6957"/>
    <w:rsid w:val="001C7C04"/>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25D1"/>
    <w:rsid w:val="00234401"/>
    <w:rsid w:val="00234E70"/>
    <w:rsid w:val="002367D4"/>
    <w:rsid w:val="002372BF"/>
    <w:rsid w:val="00241B81"/>
    <w:rsid w:val="00241C04"/>
    <w:rsid w:val="002423EA"/>
    <w:rsid w:val="00242F15"/>
    <w:rsid w:val="00254411"/>
    <w:rsid w:val="002549D6"/>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402D"/>
    <w:rsid w:val="002D7489"/>
    <w:rsid w:val="002D7F22"/>
    <w:rsid w:val="002E0E09"/>
    <w:rsid w:val="002E2659"/>
    <w:rsid w:val="002E42ED"/>
    <w:rsid w:val="002F1141"/>
    <w:rsid w:val="00304605"/>
    <w:rsid w:val="003049A0"/>
    <w:rsid w:val="00305689"/>
    <w:rsid w:val="00315C15"/>
    <w:rsid w:val="0031739F"/>
    <w:rsid w:val="003219FC"/>
    <w:rsid w:val="00321F3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5290"/>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4358"/>
    <w:rsid w:val="00435D03"/>
    <w:rsid w:val="004374A9"/>
    <w:rsid w:val="00445A20"/>
    <w:rsid w:val="00447C2D"/>
    <w:rsid w:val="0045270B"/>
    <w:rsid w:val="004666F5"/>
    <w:rsid w:val="00472A5B"/>
    <w:rsid w:val="00475FAD"/>
    <w:rsid w:val="00480690"/>
    <w:rsid w:val="00481167"/>
    <w:rsid w:val="00484DF4"/>
    <w:rsid w:val="00486109"/>
    <w:rsid w:val="0049067C"/>
    <w:rsid w:val="004941A4"/>
    <w:rsid w:val="00497784"/>
    <w:rsid w:val="004A073E"/>
    <w:rsid w:val="004A1278"/>
    <w:rsid w:val="004A4186"/>
    <w:rsid w:val="004A5193"/>
    <w:rsid w:val="004A762E"/>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08B"/>
    <w:rsid w:val="004F4494"/>
    <w:rsid w:val="004F4608"/>
    <w:rsid w:val="004F5867"/>
    <w:rsid w:val="004F6446"/>
    <w:rsid w:val="005062D2"/>
    <w:rsid w:val="005065EC"/>
    <w:rsid w:val="005078B6"/>
    <w:rsid w:val="0051279E"/>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2F37"/>
    <w:rsid w:val="00720A12"/>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EB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6FFA"/>
    <w:rsid w:val="00850549"/>
    <w:rsid w:val="008524CC"/>
    <w:rsid w:val="00854679"/>
    <w:rsid w:val="00855672"/>
    <w:rsid w:val="00860CD2"/>
    <w:rsid w:val="00862962"/>
    <w:rsid w:val="00865315"/>
    <w:rsid w:val="00865A3F"/>
    <w:rsid w:val="008674BA"/>
    <w:rsid w:val="00870435"/>
    <w:rsid w:val="008733F2"/>
    <w:rsid w:val="008746A0"/>
    <w:rsid w:val="008836A5"/>
    <w:rsid w:val="008852D4"/>
    <w:rsid w:val="00892AF7"/>
    <w:rsid w:val="0089468D"/>
    <w:rsid w:val="008A0ADC"/>
    <w:rsid w:val="008B2051"/>
    <w:rsid w:val="008B347C"/>
    <w:rsid w:val="008B48BD"/>
    <w:rsid w:val="008C325E"/>
    <w:rsid w:val="008E03BA"/>
    <w:rsid w:val="008E399C"/>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67FA9"/>
    <w:rsid w:val="00971351"/>
    <w:rsid w:val="0097332E"/>
    <w:rsid w:val="00974FD7"/>
    <w:rsid w:val="00980444"/>
    <w:rsid w:val="00982E93"/>
    <w:rsid w:val="009A0A79"/>
    <w:rsid w:val="009B0FA5"/>
    <w:rsid w:val="009B6EA6"/>
    <w:rsid w:val="009D0B32"/>
    <w:rsid w:val="009D335B"/>
    <w:rsid w:val="009D75E7"/>
    <w:rsid w:val="009E455D"/>
    <w:rsid w:val="009F231A"/>
    <w:rsid w:val="009F42DA"/>
    <w:rsid w:val="009F5E10"/>
    <w:rsid w:val="00A03978"/>
    <w:rsid w:val="00A050C0"/>
    <w:rsid w:val="00A062DB"/>
    <w:rsid w:val="00A07F7B"/>
    <w:rsid w:val="00A14F94"/>
    <w:rsid w:val="00A23CED"/>
    <w:rsid w:val="00A25E64"/>
    <w:rsid w:val="00A26387"/>
    <w:rsid w:val="00A3022E"/>
    <w:rsid w:val="00A32D49"/>
    <w:rsid w:val="00A35784"/>
    <w:rsid w:val="00A377BB"/>
    <w:rsid w:val="00A46627"/>
    <w:rsid w:val="00A475E8"/>
    <w:rsid w:val="00A52971"/>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35DB"/>
    <w:rsid w:val="00BA2993"/>
    <w:rsid w:val="00BB1593"/>
    <w:rsid w:val="00BB43F6"/>
    <w:rsid w:val="00BB6EF3"/>
    <w:rsid w:val="00BC5FF9"/>
    <w:rsid w:val="00BC6307"/>
    <w:rsid w:val="00BD2CCC"/>
    <w:rsid w:val="00BE1DF9"/>
    <w:rsid w:val="00BE36EB"/>
    <w:rsid w:val="00BE41F8"/>
    <w:rsid w:val="00BE4EB6"/>
    <w:rsid w:val="00BF1B60"/>
    <w:rsid w:val="00BF2034"/>
    <w:rsid w:val="00BF33CD"/>
    <w:rsid w:val="00BF352D"/>
    <w:rsid w:val="00C0158B"/>
    <w:rsid w:val="00C02F6F"/>
    <w:rsid w:val="00C03629"/>
    <w:rsid w:val="00C06FF3"/>
    <w:rsid w:val="00C1173A"/>
    <w:rsid w:val="00C123CF"/>
    <w:rsid w:val="00C15148"/>
    <w:rsid w:val="00C216F6"/>
    <w:rsid w:val="00C21850"/>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3972"/>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4971"/>
    <w:rsid w:val="00DC093F"/>
    <w:rsid w:val="00DC6CFE"/>
    <w:rsid w:val="00DD2595"/>
    <w:rsid w:val="00DD314B"/>
    <w:rsid w:val="00DD3B8D"/>
    <w:rsid w:val="00DD5167"/>
    <w:rsid w:val="00DD557D"/>
    <w:rsid w:val="00DD60D2"/>
    <w:rsid w:val="00DF0E69"/>
    <w:rsid w:val="00E00FC9"/>
    <w:rsid w:val="00E02CA8"/>
    <w:rsid w:val="00E042FF"/>
    <w:rsid w:val="00E0650C"/>
    <w:rsid w:val="00E06B5E"/>
    <w:rsid w:val="00E076BB"/>
    <w:rsid w:val="00E140B1"/>
    <w:rsid w:val="00E14905"/>
    <w:rsid w:val="00E211DC"/>
    <w:rsid w:val="00E33964"/>
    <w:rsid w:val="00E33DFF"/>
    <w:rsid w:val="00E3462F"/>
    <w:rsid w:val="00E36231"/>
    <w:rsid w:val="00E500F1"/>
    <w:rsid w:val="00E5358E"/>
    <w:rsid w:val="00E60357"/>
    <w:rsid w:val="00E61B4C"/>
    <w:rsid w:val="00E71D4E"/>
    <w:rsid w:val="00E74EB5"/>
    <w:rsid w:val="00E757F4"/>
    <w:rsid w:val="00E9303D"/>
    <w:rsid w:val="00EA2A3A"/>
    <w:rsid w:val="00EA77B0"/>
    <w:rsid w:val="00EB18D7"/>
    <w:rsid w:val="00EB223A"/>
    <w:rsid w:val="00EC47CE"/>
    <w:rsid w:val="00EC4D8C"/>
    <w:rsid w:val="00ED4871"/>
    <w:rsid w:val="00EE139B"/>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19F5"/>
    <w:rsid w:val="00F432E0"/>
    <w:rsid w:val="00F44E35"/>
    <w:rsid w:val="00F509CF"/>
    <w:rsid w:val="00F51775"/>
    <w:rsid w:val="00F54582"/>
    <w:rsid w:val="00F6002C"/>
    <w:rsid w:val="00F61884"/>
    <w:rsid w:val="00F627EF"/>
    <w:rsid w:val="00F66E0E"/>
    <w:rsid w:val="00F721C4"/>
    <w:rsid w:val="00F7296A"/>
    <w:rsid w:val="00F80C6A"/>
    <w:rsid w:val="00F86999"/>
    <w:rsid w:val="00FA7E14"/>
    <w:rsid w:val="00FB1A6A"/>
    <w:rsid w:val="00FC380D"/>
    <w:rsid w:val="00FC4B0E"/>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F88520FC-8C78-4F55-B183-0D9678E55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E39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12F37"/>
    <w:rPr>
      <w:rFonts w:ascii="Tahoma" w:hAnsi="Tahoma" w:cs="Tahoma"/>
      <w:sz w:val="16"/>
      <w:szCs w:val="16"/>
    </w:rPr>
  </w:style>
  <w:style w:type="character" w:customStyle="1" w:styleId="BalloonTextChar">
    <w:name w:val="Balloon Text Char"/>
    <w:basedOn w:val="DefaultParagraphFont"/>
    <w:link w:val="BalloonText"/>
    <w:uiPriority w:val="99"/>
    <w:semiHidden/>
    <w:rsid w:val="00712F37"/>
    <w:rPr>
      <w:rFonts w:ascii="Tahoma" w:hAnsi="Tahoma" w:cs="Tahoma"/>
      <w:sz w:val="16"/>
      <w:szCs w:val="16"/>
    </w:rPr>
  </w:style>
  <w:style w:type="table" w:styleId="TableGrid">
    <w:name w:val="Table Grid"/>
    <w:basedOn w:val="TableNormal"/>
    <w:uiPriority w:val="59"/>
    <w:rsid w:val="00DB497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E399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042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9-11.docx" TargetMode="External"/><Relationship Id="rId13" Type="http://schemas.openxmlformats.org/officeDocument/2006/relationships/hyperlink" Target="file:///h:\hj%20archive\2011\02-10-11.docx" TargetMode="External"/><Relationship Id="rId18" Type="http://schemas.openxmlformats.org/officeDocument/2006/relationships/hyperlink" Target="file:///h:\sj%20archive\2011\03-15-11.docx" TargetMode="External"/><Relationship Id="rId26" Type="http://schemas.openxmlformats.org/officeDocument/2006/relationships/hyperlink" Target="file:///h:\sj%20archive\2011\05-31-11.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archive\2011\04-06-11.docx" TargetMode="External"/><Relationship Id="rId34" Type="http://schemas.openxmlformats.org/officeDocument/2006/relationships/hyperlink" Target="file:///p:\pprever\2011-12\3375_20110223.docx" TargetMode="External"/><Relationship Id="rId42" Type="http://schemas.openxmlformats.org/officeDocument/2006/relationships/theme" Target="theme/theme1.xml"/><Relationship Id="rId7" Type="http://schemas.openxmlformats.org/officeDocument/2006/relationships/hyperlink" Target="file:///h:\hj%20archive\2011\01-19-11.docx" TargetMode="External"/><Relationship Id="rId12" Type="http://schemas.openxmlformats.org/officeDocument/2006/relationships/hyperlink" Target="file:///h:\hj%20archive\2011\02-09-11.docx" TargetMode="External"/><Relationship Id="rId17" Type="http://schemas.openxmlformats.org/officeDocument/2006/relationships/hyperlink" Target="file:///h:\sj%20archive\2011\02-23-11.docx" TargetMode="External"/><Relationship Id="rId25" Type="http://schemas.openxmlformats.org/officeDocument/2006/relationships/hyperlink" Target="file:///h:\sj%20archive\2011\05-31-11.docx" TargetMode="External"/><Relationship Id="rId33" Type="http://schemas.openxmlformats.org/officeDocument/2006/relationships/hyperlink" Target="file:///p:\pprever\2011-12\3375_20110204.docx" TargetMode="External"/><Relationship Id="rId38" Type="http://schemas.openxmlformats.org/officeDocument/2006/relationships/hyperlink" Target="file:///p:\pprever\2011-12\3375_20110601.docx" TargetMode="External"/><Relationship Id="rId2" Type="http://schemas.openxmlformats.org/officeDocument/2006/relationships/styles" Target="styles.xml"/><Relationship Id="rId16" Type="http://schemas.openxmlformats.org/officeDocument/2006/relationships/hyperlink" Target="file:///h:\sj%20archive\2011\02-15-11.docx" TargetMode="External"/><Relationship Id="rId20" Type="http://schemas.openxmlformats.org/officeDocument/2006/relationships/hyperlink" Target="file:///h:\sj%20archive\2011\04-05-11.docx" TargetMode="External"/><Relationship Id="rId29" Type="http://schemas.openxmlformats.org/officeDocument/2006/relationships/hyperlink" Target="file:///h:\hj%20archive\2011\06-02-11.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9-11.docx" TargetMode="External"/><Relationship Id="rId24" Type="http://schemas.openxmlformats.org/officeDocument/2006/relationships/hyperlink" Target="file:///h:\sj%20archive\2011\05-31-11.docx" TargetMode="External"/><Relationship Id="rId32" Type="http://schemas.openxmlformats.org/officeDocument/2006/relationships/hyperlink" Target="file:///p:\pprever\2011-12\3375_20110202.docx" TargetMode="External"/><Relationship Id="rId37" Type="http://schemas.openxmlformats.org/officeDocument/2006/relationships/hyperlink" Target="file:///p:\pprever\2011-12\3375_20110531.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2-15-11.docx" TargetMode="External"/><Relationship Id="rId23" Type="http://schemas.openxmlformats.org/officeDocument/2006/relationships/hyperlink" Target="file:///h:\sj%20archive\2011\05-11-11.docx" TargetMode="External"/><Relationship Id="rId28" Type="http://schemas.openxmlformats.org/officeDocument/2006/relationships/hyperlink" Target="file:///h:\sj%20archive\2011\06-01-11.docx" TargetMode="External"/><Relationship Id="rId36" Type="http://schemas.openxmlformats.org/officeDocument/2006/relationships/hyperlink" Target="file:///p:\pprever\2011-12\3375_20110302.docx" TargetMode="External"/><Relationship Id="rId10" Type="http://schemas.openxmlformats.org/officeDocument/2006/relationships/hyperlink" Target="file:///h:\hj%20archive\2011\02-08-11.docx" TargetMode="External"/><Relationship Id="rId19" Type="http://schemas.openxmlformats.org/officeDocument/2006/relationships/hyperlink" Target="file:///h:\sj%20archive\2011\03-31-11.docx" TargetMode="External"/><Relationship Id="rId31" Type="http://schemas.openxmlformats.org/officeDocument/2006/relationships/hyperlink" Target="file:///p:\pprever\2011-12\3375_20110119.docx" TargetMode="External"/><Relationship Id="rId4" Type="http://schemas.openxmlformats.org/officeDocument/2006/relationships/webSettings" Target="webSettings.xml"/><Relationship Id="rId9" Type="http://schemas.openxmlformats.org/officeDocument/2006/relationships/hyperlink" Target="file:///h:\hj%20archive\2011\02-02-11.docx" TargetMode="External"/><Relationship Id="rId14" Type="http://schemas.openxmlformats.org/officeDocument/2006/relationships/hyperlink" Target="file:///h:\hj%20archive\2011\02-10-11.docx" TargetMode="External"/><Relationship Id="rId22" Type="http://schemas.openxmlformats.org/officeDocument/2006/relationships/hyperlink" Target="file:///h:\sj%20archive\2011\04-07-11.docx" TargetMode="External"/><Relationship Id="rId27" Type="http://schemas.openxmlformats.org/officeDocument/2006/relationships/hyperlink" Target="file:///h:\sj%20archive\2011\05-31-11.docx" TargetMode="External"/><Relationship Id="rId30" Type="http://schemas.openxmlformats.org/officeDocument/2006/relationships/hyperlink" Target="file:///h:\hj%20archive\2011\06-02-11.docx" TargetMode="External"/><Relationship Id="rId35" Type="http://schemas.openxmlformats.org/officeDocument/2006/relationships/hyperlink" Target="file:///p:\pprever\2011-12\3375_201102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BF6D-9FAF-402D-B0C3-B7799E28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2839</Words>
  <Characters>15249</Characters>
  <Application>Microsoft Office Word</Application>
  <DocSecurity>4</DocSecurity>
  <Lines>366</Lines>
  <Paragraphs>134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3375: S.C. Fairness in Civil Justice Act - South Carolina Legislature Online</dc:title>
  <dc:subject/>
  <dc:creator>MarthaSanders</dc:creator>
  <cp:keywords/>
  <dc:description/>
  <cp:lastModifiedBy>N Cumfer</cp:lastModifiedBy>
  <cp:revision>2</cp:revision>
  <cp:lastPrinted>2011-06-03T13:22:00Z</cp:lastPrinted>
  <dcterms:created xsi:type="dcterms:W3CDTF">2014-11-21T21:36:00Z</dcterms:created>
  <dcterms:modified xsi:type="dcterms:W3CDTF">2014-11-21T21:36:00Z</dcterms:modified>
</cp:coreProperties>
</file>