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9F4" w:rsidRDefault="008E49F4" w:rsidP="008E49F4">
      <w:pPr>
        <w:widowControl w:val="0"/>
        <w:jc w:val="center"/>
      </w:pPr>
      <w:bookmarkStart w:id="0" w:name="_GoBack"/>
      <w:bookmarkEnd w:id="0"/>
      <w:r w:rsidRPr="008E49F4">
        <w:rPr>
          <w:b/>
        </w:rPr>
        <w:t>South Carolina General Assembly</w:t>
      </w:r>
    </w:p>
    <w:p w:rsidR="008E49F4" w:rsidRDefault="008E49F4" w:rsidP="008E49F4">
      <w:pPr>
        <w:widowControl w:val="0"/>
        <w:jc w:val="center"/>
      </w:pPr>
      <w:r>
        <w:t>119th Session, 2011-2012</w:t>
      </w:r>
    </w:p>
    <w:p w:rsidR="008E49F4" w:rsidRDefault="008E49F4" w:rsidP="008E49F4">
      <w:pPr>
        <w:widowControl w:val="0"/>
        <w:jc w:val="left"/>
      </w:pPr>
    </w:p>
    <w:p w:rsidR="008E49F4" w:rsidRDefault="008E49F4" w:rsidP="008E49F4">
      <w:pPr>
        <w:widowControl w:val="0"/>
        <w:jc w:val="left"/>
        <w:rPr>
          <w:b/>
        </w:rPr>
      </w:pPr>
      <w:r w:rsidRPr="008E49F4">
        <w:rPr>
          <w:b/>
        </w:rPr>
        <w:t>S.</w:t>
      </w:r>
      <w:r>
        <w:rPr>
          <w:b/>
        </w:rPr>
        <w:t xml:space="preserve"> </w:t>
      </w:r>
      <w:r w:rsidRPr="008E49F4">
        <w:rPr>
          <w:b/>
        </w:rPr>
        <w:t>372</w:t>
      </w:r>
    </w:p>
    <w:p w:rsidR="008E49F4" w:rsidRDefault="008E49F4" w:rsidP="008E49F4">
      <w:pPr>
        <w:widowControl w:val="0"/>
        <w:jc w:val="left"/>
        <w:rPr>
          <w:b/>
        </w:rPr>
      </w:pPr>
    </w:p>
    <w:p w:rsidR="008E49F4" w:rsidRDefault="008E49F4" w:rsidP="008E49F4">
      <w:pPr>
        <w:widowControl w:val="0"/>
        <w:jc w:val="left"/>
      </w:pPr>
      <w:r w:rsidRPr="008E49F4">
        <w:rPr>
          <w:b/>
        </w:rPr>
        <w:t>STATUS INFORMATION</w:t>
      </w:r>
    </w:p>
    <w:p w:rsidR="008E49F4" w:rsidRDefault="008E49F4" w:rsidP="008E49F4">
      <w:pPr>
        <w:widowControl w:val="0"/>
        <w:jc w:val="left"/>
      </w:pPr>
    </w:p>
    <w:p w:rsidR="008E49F4" w:rsidRDefault="008E49F4" w:rsidP="008E49F4">
      <w:pPr>
        <w:widowControl w:val="0"/>
        <w:jc w:val="left"/>
      </w:pPr>
      <w:r>
        <w:t>General Bill</w:t>
      </w:r>
    </w:p>
    <w:p w:rsidR="008E49F4" w:rsidRDefault="00047534" w:rsidP="008E49F4">
      <w:pPr>
        <w:widowControl w:val="0"/>
        <w:jc w:val="left"/>
      </w:pPr>
      <w:r>
        <w:t>Sponsors: Senators McConnell, Rose, Campsen, Massey, Shoopman, Knotts and S. Martin</w:t>
      </w:r>
    </w:p>
    <w:p w:rsidR="008E49F4" w:rsidRDefault="008E49F4" w:rsidP="008E49F4">
      <w:pPr>
        <w:widowControl w:val="0"/>
        <w:jc w:val="left"/>
      </w:pPr>
      <w:r>
        <w:t>Document Path: l:\council\bills\nbd\11137dg11.docx</w:t>
      </w:r>
    </w:p>
    <w:p w:rsidR="00E51665" w:rsidRDefault="00E51665" w:rsidP="008E49F4">
      <w:pPr>
        <w:widowControl w:val="0"/>
        <w:jc w:val="left"/>
      </w:pPr>
      <w:r>
        <w:t>Companion/Similar bill(s): 3486</w:t>
      </w:r>
    </w:p>
    <w:p w:rsidR="008E49F4" w:rsidRDefault="008E49F4" w:rsidP="008E49F4">
      <w:pPr>
        <w:widowControl w:val="0"/>
        <w:jc w:val="left"/>
      </w:pPr>
    </w:p>
    <w:p w:rsidR="00F46F49" w:rsidRDefault="00F46F49" w:rsidP="008E49F4">
      <w:pPr>
        <w:widowControl w:val="0"/>
        <w:jc w:val="left"/>
      </w:pPr>
      <w:r>
        <w:t>Introduced in the Senate on January 18, 2011</w:t>
      </w:r>
    </w:p>
    <w:p w:rsidR="00F46F49" w:rsidRDefault="00F46F49" w:rsidP="008E49F4">
      <w:pPr>
        <w:widowControl w:val="0"/>
        <w:jc w:val="left"/>
      </w:pPr>
      <w:r>
        <w:t>Currently residing in the Senate</w:t>
      </w:r>
    </w:p>
    <w:p w:rsidR="00F46F49" w:rsidRDefault="00F46F49" w:rsidP="008E49F4">
      <w:pPr>
        <w:widowControl w:val="0"/>
        <w:jc w:val="left"/>
      </w:pPr>
    </w:p>
    <w:p w:rsidR="008E49F4" w:rsidRDefault="008E49F4" w:rsidP="008E49F4">
      <w:pPr>
        <w:widowControl w:val="0"/>
        <w:jc w:val="left"/>
      </w:pPr>
      <w:r>
        <w:t xml:space="preserve">Summary: </w:t>
      </w:r>
      <w:r w:rsidR="00EC2669">
        <w:t>State Agency Deficit Prevention and Recognition Act</w:t>
      </w:r>
    </w:p>
    <w:p w:rsidR="008E49F4" w:rsidRDefault="008E49F4" w:rsidP="008E49F4">
      <w:pPr>
        <w:widowControl w:val="0"/>
        <w:jc w:val="left"/>
      </w:pPr>
    </w:p>
    <w:p w:rsidR="008E49F4" w:rsidRDefault="008E49F4" w:rsidP="008E49F4">
      <w:pPr>
        <w:widowControl w:val="0"/>
        <w:jc w:val="left"/>
      </w:pPr>
    </w:p>
    <w:p w:rsidR="008E49F4" w:rsidRDefault="008E49F4" w:rsidP="008E49F4">
      <w:pPr>
        <w:widowControl w:val="0"/>
        <w:tabs>
          <w:tab w:val="center" w:pos="590"/>
          <w:tab w:val="center" w:pos="1440"/>
          <w:tab w:val="left" w:pos="1872"/>
          <w:tab w:val="left" w:pos="9187"/>
        </w:tabs>
        <w:jc w:val="left"/>
      </w:pPr>
      <w:r w:rsidRPr="008E49F4">
        <w:rPr>
          <w:b/>
        </w:rPr>
        <w:t>HISTORY OF LEGISLATIVE ACTIONS</w:t>
      </w:r>
    </w:p>
    <w:p w:rsidR="008E49F4" w:rsidRDefault="008E49F4" w:rsidP="008E49F4">
      <w:pPr>
        <w:widowControl w:val="0"/>
        <w:tabs>
          <w:tab w:val="center" w:pos="590"/>
          <w:tab w:val="center" w:pos="1440"/>
          <w:tab w:val="left" w:pos="1872"/>
          <w:tab w:val="left" w:pos="9187"/>
        </w:tabs>
        <w:jc w:val="left"/>
      </w:pPr>
    </w:p>
    <w:p w:rsidR="008E49F4" w:rsidRPr="008E49F4" w:rsidRDefault="008E49F4" w:rsidP="008E49F4">
      <w:pPr>
        <w:widowControl w:val="0"/>
        <w:tabs>
          <w:tab w:val="center" w:pos="590"/>
          <w:tab w:val="center" w:pos="1440"/>
          <w:tab w:val="left" w:pos="1872"/>
          <w:tab w:val="left" w:pos="9187"/>
        </w:tabs>
        <w:jc w:val="left"/>
      </w:pPr>
      <w:r w:rsidRPr="008E49F4">
        <w:rPr>
          <w:u w:val="single"/>
        </w:rPr>
        <w:tab/>
        <w:t>Date</w:t>
      </w:r>
      <w:r w:rsidRPr="008E49F4">
        <w:rPr>
          <w:u w:val="single"/>
        </w:rPr>
        <w:tab/>
        <w:t>Body</w:t>
      </w:r>
      <w:r w:rsidRPr="008E49F4">
        <w:rPr>
          <w:u w:val="single"/>
        </w:rPr>
        <w:tab/>
        <w:t>Action Description with journal page number</w:t>
      </w:r>
      <w:r w:rsidRPr="008E49F4">
        <w:rPr>
          <w:u w:val="single"/>
        </w:rPr>
        <w:tab/>
      </w:r>
    </w:p>
    <w:p w:rsidR="00F63259" w:rsidRDefault="00F63259" w:rsidP="00F63259">
      <w:pPr>
        <w:widowControl w:val="0"/>
        <w:tabs>
          <w:tab w:val="right" w:pos="1008"/>
          <w:tab w:val="left" w:pos="1152"/>
          <w:tab w:val="left" w:pos="1872"/>
          <w:tab w:val="left" w:pos="9187"/>
        </w:tabs>
        <w:ind w:left="2088" w:hanging="2088"/>
        <w:jc w:val="left"/>
      </w:pPr>
      <w:r>
        <w:tab/>
        <w:t>1/18/2011</w:t>
      </w:r>
      <w:r>
        <w:tab/>
        <w:t>Senate</w:t>
      </w:r>
      <w:r>
        <w:tab/>
      </w:r>
      <w:r w:rsidRPr="00F71A59">
        <w:t>Introduced and read first time (</w:t>
      </w:r>
      <w:hyperlink r:id="rId7" w:history="1">
        <w:r w:rsidRPr="00F71A59">
          <w:rPr>
            <w:rStyle w:val="Hyperlink"/>
          </w:rPr>
          <w:t>Senate Journal</w:t>
        </w:r>
        <w:r w:rsidRPr="00F71A59">
          <w:rPr>
            <w:rStyle w:val="Hyperlink"/>
          </w:rPr>
          <w:noBreakHyphen/>
          <w:t>page 2</w:t>
        </w:r>
      </w:hyperlink>
      <w:r w:rsidRPr="00F71A59">
        <w:t>)</w:t>
      </w:r>
    </w:p>
    <w:p w:rsidR="00F63259" w:rsidRDefault="00F63259" w:rsidP="00F63259">
      <w:pPr>
        <w:widowControl w:val="0"/>
        <w:tabs>
          <w:tab w:val="right" w:pos="1008"/>
          <w:tab w:val="left" w:pos="1152"/>
          <w:tab w:val="left" w:pos="1872"/>
          <w:tab w:val="left" w:pos="9187"/>
        </w:tabs>
        <w:ind w:left="2088" w:hanging="2088"/>
        <w:jc w:val="left"/>
      </w:pPr>
      <w:r>
        <w:tab/>
        <w:t>1/18/2011</w:t>
      </w:r>
      <w:r>
        <w:tab/>
        <w:t>Senate</w:t>
      </w:r>
      <w:r>
        <w:tab/>
      </w:r>
      <w:r w:rsidRPr="00F71A59">
        <w:t>Ref</w:t>
      </w:r>
      <w:r>
        <w:t xml:space="preserve">erred to Committee on </w:t>
      </w:r>
      <w:r w:rsidRPr="00F71A59">
        <w:rPr>
          <w:b/>
        </w:rPr>
        <w:t>Judiciary</w:t>
      </w:r>
      <w:r>
        <w:t xml:space="preserve"> </w:t>
      </w:r>
      <w:r w:rsidRPr="00F71A59">
        <w:t>(</w:t>
      </w:r>
      <w:hyperlink r:id="rId8" w:history="1">
        <w:r w:rsidRPr="00F71A59">
          <w:rPr>
            <w:rStyle w:val="Hyperlink"/>
          </w:rPr>
          <w:t>Senate Journal</w:t>
        </w:r>
        <w:r w:rsidRPr="00F71A59">
          <w:rPr>
            <w:rStyle w:val="Hyperlink"/>
          </w:rPr>
          <w:noBreakHyphen/>
          <w:t>page 2</w:t>
        </w:r>
      </w:hyperlink>
      <w:r w:rsidRPr="00F71A59">
        <w:t>)</w:t>
      </w:r>
    </w:p>
    <w:p w:rsidR="00F63259" w:rsidRDefault="00F63259" w:rsidP="00F63259">
      <w:pPr>
        <w:widowControl w:val="0"/>
        <w:tabs>
          <w:tab w:val="right" w:pos="1008"/>
          <w:tab w:val="left" w:pos="1152"/>
          <w:tab w:val="left" w:pos="1872"/>
          <w:tab w:val="left" w:pos="9187"/>
        </w:tabs>
        <w:ind w:left="2088" w:hanging="2088"/>
        <w:jc w:val="left"/>
      </w:pPr>
      <w:r>
        <w:tab/>
        <w:t>1/21/2011</w:t>
      </w:r>
      <w:r>
        <w:tab/>
        <w:t>Senate</w:t>
      </w:r>
      <w:r>
        <w:tab/>
      </w:r>
      <w:r w:rsidRPr="00F71A59">
        <w:t>Referred to Sub</w:t>
      </w:r>
      <w:r>
        <w:t xml:space="preserve">committee: Knotts (ch), Malloy, </w:t>
      </w:r>
      <w:r w:rsidRPr="00F71A59">
        <w:t>Sheheen, Davis, Shoopman</w:t>
      </w:r>
    </w:p>
    <w:p w:rsidR="00F63259" w:rsidRDefault="00F63259" w:rsidP="00F63259">
      <w:pPr>
        <w:widowControl w:val="0"/>
        <w:tabs>
          <w:tab w:val="right" w:pos="1008"/>
          <w:tab w:val="left" w:pos="1152"/>
          <w:tab w:val="left" w:pos="1872"/>
          <w:tab w:val="left" w:pos="9187"/>
        </w:tabs>
        <w:ind w:left="2088" w:hanging="2088"/>
        <w:jc w:val="left"/>
      </w:pPr>
      <w:r>
        <w:tab/>
        <w:t>12/7/2011</w:t>
      </w:r>
      <w:r>
        <w:tab/>
        <w:t>Senate</w:t>
      </w:r>
      <w:r>
        <w:tab/>
      </w:r>
      <w:r w:rsidRPr="00F71A59">
        <w:t>Referred to Subcom</w:t>
      </w:r>
      <w:r>
        <w:t xml:space="preserve">mittee: McConnell (ch), Knotts, </w:t>
      </w:r>
      <w:r w:rsidRPr="00F71A59">
        <w:t>Malloy, Sheheen, Massey, Davis, Shoopman</w:t>
      </w:r>
    </w:p>
    <w:p w:rsidR="00F63259" w:rsidRDefault="00F63259" w:rsidP="00F63259">
      <w:pPr>
        <w:widowControl w:val="0"/>
        <w:tabs>
          <w:tab w:val="right" w:pos="1008"/>
          <w:tab w:val="left" w:pos="1152"/>
          <w:tab w:val="left" w:pos="1872"/>
          <w:tab w:val="left" w:pos="9187"/>
        </w:tabs>
        <w:ind w:left="2088" w:hanging="2088"/>
        <w:jc w:val="left"/>
      </w:pPr>
      <w:r>
        <w:lastRenderedPageBreak/>
        <w:tab/>
        <w:t>1/18/2012</w:t>
      </w:r>
      <w:r>
        <w:tab/>
        <w:t>Senate</w:t>
      </w:r>
      <w:r>
        <w:tab/>
      </w:r>
      <w:r w:rsidRPr="00F71A59">
        <w:t>Committee r</w:t>
      </w:r>
      <w:r>
        <w:t xml:space="preserve">eport: Favorable with amendment </w:t>
      </w:r>
      <w:r w:rsidRPr="00F71A59">
        <w:rPr>
          <w:b/>
        </w:rPr>
        <w:t>Judiciary</w:t>
      </w:r>
      <w:r w:rsidRPr="00F71A59">
        <w:t xml:space="preserve"> (</w:t>
      </w:r>
      <w:hyperlink r:id="rId9" w:history="1">
        <w:r w:rsidRPr="00F71A59">
          <w:rPr>
            <w:rStyle w:val="Hyperlink"/>
          </w:rPr>
          <w:t>Senate Journal</w:t>
        </w:r>
        <w:r w:rsidRPr="00F71A59">
          <w:rPr>
            <w:rStyle w:val="Hyperlink"/>
          </w:rPr>
          <w:noBreakHyphen/>
          <w:t>page 5</w:t>
        </w:r>
      </w:hyperlink>
      <w:r w:rsidRPr="00F71A59">
        <w:t>)</w:t>
      </w:r>
    </w:p>
    <w:p w:rsidR="00F63259" w:rsidRDefault="00F63259" w:rsidP="00F63259">
      <w:pPr>
        <w:widowControl w:val="0"/>
        <w:tabs>
          <w:tab w:val="right" w:pos="1008"/>
          <w:tab w:val="left" w:pos="1152"/>
          <w:tab w:val="left" w:pos="1872"/>
          <w:tab w:val="left" w:pos="9187"/>
        </w:tabs>
        <w:ind w:left="2088" w:hanging="2088"/>
        <w:jc w:val="left"/>
      </w:pPr>
      <w:r>
        <w:tab/>
        <w:t>1/19/2012</w:t>
      </w:r>
      <w:r>
        <w:tab/>
      </w:r>
      <w:r>
        <w:tab/>
      </w:r>
      <w:r w:rsidRPr="00F71A59">
        <w:t>Scrivener's error corrected</w:t>
      </w:r>
    </w:p>
    <w:p w:rsidR="00F63259" w:rsidRDefault="00F63259" w:rsidP="00F63259">
      <w:pPr>
        <w:widowControl w:val="0"/>
        <w:tabs>
          <w:tab w:val="right" w:pos="1008"/>
          <w:tab w:val="left" w:pos="1152"/>
          <w:tab w:val="left" w:pos="1872"/>
          <w:tab w:val="left" w:pos="9187"/>
        </w:tabs>
        <w:ind w:left="2088" w:hanging="2088"/>
        <w:jc w:val="left"/>
      </w:pPr>
    </w:p>
    <w:p w:rsidR="008E49F4" w:rsidRPr="008E49F4" w:rsidRDefault="008E49F4" w:rsidP="008E49F4">
      <w:pPr>
        <w:widowControl w:val="0"/>
        <w:tabs>
          <w:tab w:val="right" w:pos="1008"/>
          <w:tab w:val="left" w:pos="1152"/>
          <w:tab w:val="left" w:pos="1872"/>
          <w:tab w:val="left" w:pos="9187"/>
        </w:tabs>
        <w:ind w:left="2088" w:hanging="2088"/>
        <w:jc w:val="left"/>
      </w:pPr>
    </w:p>
    <w:p w:rsidR="008E49F4" w:rsidRDefault="008E49F4" w:rsidP="008E49F4">
      <w:pPr>
        <w:widowControl w:val="0"/>
        <w:jc w:val="left"/>
      </w:pPr>
      <w:r w:rsidRPr="008E49F4">
        <w:rPr>
          <w:b/>
        </w:rPr>
        <w:t>VERSIONS OF THIS BILL</w:t>
      </w:r>
    </w:p>
    <w:p w:rsidR="008E49F4" w:rsidRDefault="008E49F4" w:rsidP="008E49F4">
      <w:pPr>
        <w:widowControl w:val="0"/>
        <w:jc w:val="left"/>
      </w:pPr>
    </w:p>
    <w:p w:rsidR="008E49F4" w:rsidRDefault="006E1484" w:rsidP="008E49F4">
      <w:pPr>
        <w:widowControl w:val="0"/>
        <w:jc w:val="left"/>
      </w:pPr>
      <w:hyperlink r:id="rId10" w:history="1">
        <w:r w:rsidR="008E49F4">
          <w:rPr>
            <w:rStyle w:val="Hyperlink"/>
          </w:rPr>
          <w:t>1/18/2011</w:t>
        </w:r>
      </w:hyperlink>
    </w:p>
    <w:p w:rsidR="00191C42" w:rsidRDefault="006E1484" w:rsidP="008E49F4">
      <w:hyperlink r:id="rId11" w:history="1">
        <w:r w:rsidR="00191C42" w:rsidRPr="00191C42">
          <w:rPr>
            <w:rStyle w:val="Hyperlink"/>
          </w:rPr>
          <w:t>1/18/2012</w:t>
        </w:r>
      </w:hyperlink>
    </w:p>
    <w:p w:rsidR="00035E47" w:rsidRDefault="006E1484" w:rsidP="008E49F4">
      <w:hyperlink r:id="rId12" w:history="1">
        <w:r w:rsidR="00035E47" w:rsidRPr="00035E47">
          <w:rPr>
            <w:rStyle w:val="Hyperlink"/>
          </w:rPr>
          <w:t>1/19/2012</w:t>
        </w:r>
      </w:hyperlink>
    </w:p>
    <w:p w:rsidR="008E49F4" w:rsidRDefault="008E49F4" w:rsidP="008E49F4"/>
    <w:p w:rsidR="008E49F4" w:rsidRDefault="008E49F4" w:rsidP="008E49F4">
      <w:pPr>
        <w:sectPr w:rsidR="008E49F4" w:rsidSect="008E49F4">
          <w:pgSz w:w="12240" w:h="15840" w:code="1"/>
          <w:pgMar w:top="1080" w:right="1440" w:bottom="1080" w:left="1440" w:header="720" w:footer="720" w:gutter="0"/>
          <w:cols w:space="720"/>
          <w:noEndnote/>
          <w:docGrid w:linePitch="360"/>
        </w:sectPr>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35E47" w:rsidRPr="007574A5"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18, 2012</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7574A5" w:rsidRDefault="00035E47" w:rsidP="007574A5">
      <w:pPr>
        <w:tabs>
          <w:tab w:val="right" w:pos="5933"/>
        </w:tabs>
        <w:suppressAutoHyphens/>
      </w:pPr>
      <w:r>
        <w:tab/>
      </w:r>
      <w:r>
        <w:rPr>
          <w:b/>
          <w:sz w:val="36"/>
        </w:rPr>
        <w:t>S. 372</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McConnell, Rose, Campsen, Massey, Shoopman and Knotts</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930901">
      <w:pPr>
        <w:tabs>
          <w:tab w:val="right" w:pos="5933"/>
        </w:tabs>
        <w:suppressAutoHyphens/>
      </w:pPr>
      <w:r>
        <w:t>S. Printed 1/18/12--S.</w:t>
      </w:r>
      <w:r>
        <w:tab/>
        <w:t>[SEC 1/19/12 12:04 PM]</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2011.</w:t>
      </w:r>
    </w:p>
    <w:p w:rsidR="00035E47" w:rsidRPr="007574A5"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7574A5"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372) </w:t>
      </w:r>
      <w:r w:rsidRPr="007574A5">
        <w:rPr>
          <w:color w:val="000000" w:themeColor="text1"/>
          <w:u w:color="000000" w:themeColor="text1"/>
        </w:rPr>
        <w:t>to amend the Code of Laws South Carolina, 1976, to enact the “State Agency Deficit Prevention and Recognition Act” by adding Chapter 79 to Title 2 so as to</w:t>
      </w:r>
      <w:r>
        <w:t xml:space="preserve"> provide, etc., respectfully</w:t>
      </w:r>
    </w:p>
    <w:p w:rsidR="00035E47" w:rsidRPr="007574A5"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6A7C11"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Amend the bill, as and if amended, by striking SECTION 2 in its entirety and inserting:</w:t>
      </w:r>
    </w:p>
    <w:p w:rsidR="00035E47" w:rsidRPr="006A7C11"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A7C11">
        <w:rPr>
          <w:snapToGrid w:val="0"/>
        </w:rPr>
        <w:t>/</w:t>
      </w:r>
      <w:r w:rsidRPr="006A7C11">
        <w:rPr>
          <w:snapToGrid w:val="0"/>
        </w:rPr>
        <w:tab/>
      </w:r>
      <w:r w:rsidRPr="006A7C11">
        <w:rPr>
          <w:snapToGrid w:val="0"/>
        </w:rPr>
        <w:tab/>
        <w:t>SECTION 2.</w:t>
      </w:r>
      <w:r w:rsidRPr="006A7C11">
        <w:rPr>
          <w:snapToGrid w:val="0"/>
        </w:rPr>
        <w:tab/>
        <w:t>Section 1-11-495 of the 1976 Code, as last amended by Act 152 of 2010, is repealed.</w:t>
      </w:r>
      <w:r w:rsidRPr="006A7C11">
        <w:rPr>
          <w:snapToGrid w:val="0"/>
        </w:rPr>
        <w:tab/>
      </w:r>
      <w:r w:rsidRPr="006A7C11">
        <w:rPr>
          <w:snapToGrid w:val="0"/>
        </w:rPr>
        <w:tab/>
        <w:t>/</w:t>
      </w:r>
    </w:p>
    <w:p w:rsidR="00035E47" w:rsidRPr="006A7C11"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Renumber sections to conform.</w:t>
      </w:r>
    </w:p>
    <w:p w:rsidR="00035E47"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A7C11">
        <w:rPr>
          <w:snapToGrid w:val="0"/>
        </w:rPr>
        <w:tab/>
        <w:t>Amend title to conform.</w:t>
      </w:r>
    </w:p>
    <w:p w:rsidR="00035E47" w:rsidRPr="006A7C11"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035E47" w:rsidRPr="007574A5"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7574A5"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35E47" w:rsidRPr="0055080F"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080F">
        <w:rPr>
          <w:szCs w:val="22"/>
        </w:rPr>
        <w:t>ESTIMATED FISCAL IMPACT ON GENERAL FUND EXPENDITURES:</w:t>
      </w:r>
    </w:p>
    <w:p w:rsidR="00035E47" w:rsidRPr="0055080F"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55080F">
        <w:rPr>
          <w:szCs w:val="22"/>
        </w:rPr>
        <w:t>$0 (No additional expenditures or savings are expected)</w:t>
      </w:r>
    </w:p>
    <w:p w:rsidR="00035E47" w:rsidRPr="0055080F"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5080F">
        <w:rPr>
          <w:szCs w:val="22"/>
        </w:rPr>
        <w:t>ESTIMATED FISCAL IMPACT ON FEDERAL &amp; OTHER FUND EXPENDITURES:</w:t>
      </w:r>
    </w:p>
    <w:p w:rsidR="00035E47" w:rsidRPr="0055080F" w:rsidRDefault="00035E47" w:rsidP="007574A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55080F">
        <w:rPr>
          <w:szCs w:val="22"/>
        </w:rPr>
        <w:t>$0 (No additional expenditures or savings are expected)</w:t>
      </w:r>
      <w:bookmarkStart w:id="3" w:name="c"/>
      <w:bookmarkEnd w:id="3"/>
    </w:p>
    <w:p w:rsidR="00035E47" w:rsidRPr="0055080F" w:rsidRDefault="00035E47"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5080F">
        <w:rPr>
          <w:b/>
          <w:szCs w:val="22"/>
        </w:rPr>
        <w:t>EXPLANATION OF IMPACT:</w:t>
      </w:r>
    </w:p>
    <w:p w:rsidR="00035E47" w:rsidRPr="0055080F" w:rsidRDefault="00035E47"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55080F">
        <w:rPr>
          <w:szCs w:val="22"/>
          <w:u w:val="single"/>
        </w:rPr>
        <w:t>State Budget and Control Board</w:t>
      </w:r>
    </w:p>
    <w:p w:rsidR="00035E47" w:rsidRPr="0055080F" w:rsidRDefault="00035E47" w:rsidP="007574A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noProof/>
          <w:szCs w:val="22"/>
        </w:rPr>
        <w:tab/>
      </w:r>
      <w:r w:rsidRPr="0055080F">
        <w:rPr>
          <w:noProof/>
          <w:szCs w:val="22"/>
        </w:rPr>
        <w:t xml:space="preserve">Enactment of the </w:t>
      </w:r>
      <w:r>
        <w:rPr>
          <w:noProof/>
          <w:szCs w:val="22"/>
        </w:rPr>
        <w:t>bill</w:t>
      </w:r>
      <w:r w:rsidRPr="0055080F">
        <w:rPr>
          <w:noProof/>
          <w:szCs w:val="22"/>
        </w:rPr>
        <w:t xml:space="preserve"> should have no direct impact on the Board – Office of State Budget (OSB).  The responsibilities and procedures for monitoring agency expenditures and recognizing an agency deficit already exist within current statutes and provisos.  This estimate assumes the number of requests for pay increases and purchases of equipment and vehicles that OSB would have to review before approval would not be voluminous for those agencies where a deficit is formally recognized (see Section 2-79-50).  </w:t>
      </w:r>
    </w:p>
    <w:p w:rsidR="00035E47" w:rsidRPr="0055080F"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55080F">
        <w:rPr>
          <w:szCs w:val="22"/>
          <w:u w:val="single"/>
        </w:rPr>
        <w:t>The Senate and the House of Representatives</w:t>
      </w:r>
    </w:p>
    <w:p w:rsidR="00035E47" w:rsidRPr="0055080F" w:rsidRDefault="00035E47" w:rsidP="00757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5080F">
        <w:rPr>
          <w:szCs w:val="22"/>
        </w:rPr>
        <w:t xml:space="preserve">The Legislature indicates this </w:t>
      </w:r>
      <w:r>
        <w:rPr>
          <w:szCs w:val="22"/>
        </w:rPr>
        <w:t>bill</w:t>
      </w:r>
      <w:r w:rsidRPr="0055080F">
        <w:rPr>
          <w:szCs w:val="22"/>
        </w:rPr>
        <w:t xml:space="preserve"> will have a minimal fiscal impact but can be absorbed within existing resources.</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7574A5">
      <w:pPr>
        <w:tabs>
          <w:tab w:val="left" w:pos="3024"/>
        </w:tabs>
        <w:suppressAutoHyphens/>
      </w:pPr>
      <w:r>
        <w:tab/>
      </w:r>
      <w:r>
        <w:rPr>
          <w:i/>
        </w:rPr>
        <w:t>Approved By:</w:t>
      </w:r>
    </w:p>
    <w:p w:rsidR="00035E47" w:rsidRDefault="00035E47" w:rsidP="007574A5">
      <w:pPr>
        <w:tabs>
          <w:tab w:val="left" w:pos="3024"/>
        </w:tabs>
        <w:suppressAutoHyphens/>
      </w:pPr>
      <w:r>
        <w:tab/>
        <w:t>Harry Bell</w:t>
      </w:r>
    </w:p>
    <w:p w:rsidR="00035E47" w:rsidRPr="007574A5" w:rsidRDefault="00035E47" w:rsidP="007574A5">
      <w:pPr>
        <w:tabs>
          <w:tab w:val="left" w:pos="3024"/>
        </w:tabs>
        <w:suppressAutoHyphens/>
      </w:pPr>
      <w:r>
        <w:tab/>
        <w:t>Office of State Budget</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5E47" w:rsidSect="007574A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325348" w:rsidRDefault="00035E47" w:rsidP="00CC4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AD6166"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7" w:name="titletop"/>
      <w:bookmarkEnd w:id="7"/>
      <w:r w:rsidRPr="00AB314A">
        <w:rPr>
          <w:color w:val="000000" w:themeColor="text1"/>
          <w:u w:color="000000" w:themeColor="text1"/>
        </w:rPr>
        <w:t xml:space="preserve">TO AMEND THE CODE OF LAWS SOUTH CAROLINA, 1976, </w:t>
      </w:r>
      <w:r>
        <w:rPr>
          <w:color w:val="000000" w:themeColor="text1"/>
          <w:u w:color="000000" w:themeColor="text1"/>
        </w:rPr>
        <w:t xml:space="preserve">TO </w:t>
      </w:r>
      <w:r w:rsidRPr="00AB314A">
        <w:rPr>
          <w:color w:val="000000" w:themeColor="text1"/>
          <w:u w:color="000000" w:themeColor="text1"/>
        </w:rPr>
        <w:t xml:space="preserve">ENACT THE </w:t>
      </w:r>
      <w:r>
        <w:rPr>
          <w:color w:val="000000" w:themeColor="text1"/>
          <w:u w:color="000000" w:themeColor="text1"/>
        </w:rPr>
        <w:t>“</w:t>
      </w:r>
      <w:r w:rsidRPr="00AB314A">
        <w:rPr>
          <w:color w:val="000000" w:themeColor="text1"/>
          <w:u w:color="000000" w:themeColor="text1"/>
        </w:rPr>
        <w:t>STATE AGENCY DEFICIT PREVENTION AND RECOGNITION ACT</w:t>
      </w:r>
      <w:r>
        <w:rPr>
          <w:color w:val="000000" w:themeColor="text1"/>
          <w:u w:color="000000" w:themeColor="text1"/>
        </w:rPr>
        <w:t>”</w:t>
      </w:r>
      <w:r w:rsidRPr="00AB314A">
        <w:rPr>
          <w:color w:val="000000" w:themeColor="text1"/>
          <w:u w:color="000000" w:themeColor="text1"/>
        </w:rPr>
        <w:t xml:space="preserve"> </w:t>
      </w:r>
      <w:r>
        <w:rPr>
          <w:color w:val="000000" w:themeColor="text1"/>
          <w:u w:color="000000" w:themeColor="text1"/>
        </w:rPr>
        <w:t>BY ADDING CHAPTER 79 TO TITLE 2</w:t>
      </w:r>
      <w:r w:rsidRPr="00AB314A">
        <w:rPr>
          <w:color w:val="000000" w:themeColor="text1"/>
          <w:u w:color="000000" w:themeColor="text1"/>
        </w:rPr>
        <w:t xml:space="preserve"> SO AS TO PROVIDE THAT A STATE AGENCY, DEPARTMENT, OR INSTITUTION MAY NOT OPERATE IN A MANNER THAT RESULTS IN A YEAR</w:t>
      </w:r>
      <w:r>
        <w:rPr>
          <w:color w:val="000000" w:themeColor="text1"/>
          <w:u w:color="000000" w:themeColor="text1"/>
        </w:rPr>
        <w:noBreakHyphen/>
      </w:r>
      <w:r w:rsidRPr="00AB314A">
        <w:rPr>
          <w:color w:val="000000" w:themeColor="text1"/>
          <w:u w:color="000000" w:themeColor="text1"/>
        </w:rPr>
        <w:t>END DEFICIT UNLESS THE DEFICIT IS RECOGNIZED BY THE GENERAL ASSEMBLY, TO PROVIDE THE MANNER IN WHICH THE GENERAL ASSEMBLY MAY RECOGNIZE A DEFICIT, TO PROVIDE THAT AN OFFICER OR EMPLOYEE OF THIS STATE MAY NOT MAKE OR AUTHORIZE AN EXPENDITURE OR OBLIGATION EXCEEDING THE AMOUNT AVAILABLE IN AN EXISTING STATE APPROPRIATION, TO PROVIDE EXCEPTIONS, AND TO PROVIDE PENALTIES</w:t>
      </w:r>
      <w:r>
        <w:rPr>
          <w:color w:val="000000" w:themeColor="text1"/>
          <w:u w:color="000000" w:themeColor="text1"/>
        </w:rPr>
        <w:t>;</w:t>
      </w:r>
      <w:r w:rsidRPr="00AB314A">
        <w:rPr>
          <w:color w:val="000000" w:themeColor="text1"/>
          <w:u w:color="000000" w:themeColor="text1"/>
        </w:rPr>
        <w:t xml:space="preserve"> AND TO AMEND 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 xml:space="preserve">495, AS AMENDED, RELATING TO </w:t>
      </w:r>
      <w:r>
        <w:rPr>
          <w:color w:val="000000" w:themeColor="text1"/>
          <w:u w:color="000000" w:themeColor="text1"/>
        </w:rPr>
        <w:t>YEAR-</w:t>
      </w:r>
      <w:r w:rsidRPr="00AB314A">
        <w:rPr>
          <w:color w:val="000000" w:themeColor="text1"/>
          <w:u w:color="000000" w:themeColor="text1"/>
        </w:rPr>
        <w:t>END DEFICITS,</w:t>
      </w:r>
      <w:r>
        <w:rPr>
          <w:color w:val="000000" w:themeColor="text1"/>
          <w:u w:color="000000" w:themeColor="text1"/>
        </w:rPr>
        <w:t xml:space="preserve"> SO AS</w:t>
      </w:r>
      <w:r w:rsidRPr="00AB314A">
        <w:rPr>
          <w:color w:val="000000" w:themeColor="text1"/>
          <w:u w:color="000000" w:themeColor="text1"/>
        </w:rPr>
        <w:t xml:space="preserve"> TO ELIMINATE THE BUDGET AND CONTROL BOARD</w:t>
      </w:r>
      <w:r>
        <w:rPr>
          <w:color w:val="000000" w:themeColor="text1"/>
          <w:u w:color="000000" w:themeColor="text1"/>
        </w:rPr>
        <w:t>’S</w:t>
      </w:r>
      <w:r w:rsidRPr="00AB314A">
        <w:rPr>
          <w:color w:val="000000" w:themeColor="text1"/>
          <w:u w:color="000000" w:themeColor="text1"/>
        </w:rPr>
        <w:t xml:space="preserve"> AUTHORITY TO RECOGNIZE AN AGENCY DEFICIT.</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E47" w:rsidRDefault="00035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1.</w:t>
      </w:r>
      <w:r>
        <w:rPr>
          <w:color w:val="000000" w:themeColor="text1"/>
          <w:u w:color="000000" w:themeColor="text1"/>
        </w:rPr>
        <w:tab/>
      </w:r>
      <w:r w:rsidRPr="00AB314A">
        <w:rPr>
          <w:color w:val="000000" w:themeColor="text1"/>
          <w:u w:color="000000" w:themeColor="text1"/>
        </w:rPr>
        <w:t>Title 2 of the 1976 Code is amended by adding:</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B314A">
        <w:rPr>
          <w:color w:val="000000" w:themeColor="text1"/>
          <w:u w:color="000000" w:themeColor="text1"/>
        </w:rPr>
        <w:t>CHAPTER 79</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B314A">
        <w:rPr>
          <w:color w:val="000000" w:themeColor="text1"/>
          <w:u w:color="000000" w:themeColor="text1"/>
        </w:rPr>
        <w:t>State Agency Deficit Prevention and Recognition</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10.</w:t>
      </w:r>
      <w:r>
        <w:rPr>
          <w:color w:val="000000" w:themeColor="text1"/>
          <w:u w:color="000000" w:themeColor="text1"/>
        </w:rPr>
        <w:tab/>
      </w:r>
      <w:r w:rsidRPr="00AB314A">
        <w:rPr>
          <w:color w:val="000000" w:themeColor="text1"/>
          <w:u w:color="000000" w:themeColor="text1"/>
        </w:rPr>
        <w:t xml:space="preserve">This chapter may be cited as the </w:t>
      </w:r>
      <w:r w:rsidRPr="00160A81">
        <w:rPr>
          <w:color w:val="000000" w:themeColor="text1"/>
          <w:u w:color="000000" w:themeColor="text1"/>
        </w:rPr>
        <w:t>‘</w:t>
      </w:r>
      <w:r w:rsidRPr="00AB314A">
        <w:rPr>
          <w:color w:val="000000" w:themeColor="text1"/>
          <w:u w:color="000000" w:themeColor="text1"/>
        </w:rPr>
        <w:t>State Agency Deficit Prevention and Recognition Act</w:t>
      </w:r>
      <w:r w:rsidRPr="00160A81">
        <w:rPr>
          <w:color w:val="000000" w:themeColor="text1"/>
          <w:u w:color="000000" w:themeColor="text1"/>
        </w:rPr>
        <w:t>’</w:t>
      </w:r>
      <w:r w:rsidRPr="00AB314A">
        <w:rPr>
          <w:color w:val="000000" w:themeColor="text1"/>
          <w:u w:color="000000" w:themeColor="text1"/>
        </w:rPr>
        <w:t>.</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20.</w:t>
      </w:r>
      <w:r>
        <w:rPr>
          <w:color w:val="000000" w:themeColor="text1"/>
          <w:u w:color="000000" w:themeColor="text1"/>
        </w:rPr>
        <w:tab/>
        <w:t xml:space="preserve"> </w:t>
      </w:r>
      <w:r w:rsidRPr="00AB314A">
        <w:rPr>
          <w:color w:val="000000" w:themeColor="text1"/>
          <w:u w:color="000000" w:themeColor="text1"/>
        </w:rPr>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w:t>
      </w:r>
      <w:r>
        <w:rPr>
          <w:color w:val="000000" w:themeColor="text1"/>
          <w:u w:color="000000" w:themeColor="text1"/>
        </w:rPr>
        <w:t xml:space="preserve"> state</w:t>
      </w:r>
      <w:r w:rsidRPr="00AB314A">
        <w:rPr>
          <w:color w:val="000000" w:themeColor="text1"/>
          <w:u w:color="000000" w:themeColor="text1"/>
        </w:rPr>
        <w:t xml:space="preserve"> agency, department, or institution shall not operate in a manner that results in a year</w:t>
      </w:r>
      <w:r>
        <w:rPr>
          <w:color w:val="000000" w:themeColor="text1"/>
          <w:u w:color="000000" w:themeColor="text1"/>
        </w:rPr>
        <w:noBreakHyphen/>
      </w:r>
      <w:r w:rsidRPr="00AB314A">
        <w:rPr>
          <w:color w:val="000000" w:themeColor="text1"/>
          <w:u w:color="000000" w:themeColor="text1"/>
        </w:rPr>
        <w:t>end deficit except as provided in this chapter.</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30.</w:t>
      </w:r>
      <w:r>
        <w:rPr>
          <w:color w:val="000000" w:themeColor="text1"/>
          <w:u w:color="000000" w:themeColor="text1"/>
        </w:rPr>
        <w:tab/>
      </w:r>
      <w:r w:rsidRPr="00AB314A">
        <w:rPr>
          <w:color w:val="000000" w:themeColor="text1"/>
          <w:u w:color="000000" w:themeColor="text1"/>
        </w:rPr>
        <w:t xml:space="preserve">If at the end of each quarterly deficit monitoring review by the Office of State Budget, it is determined by either </w:t>
      </w:r>
      <w:r>
        <w:rPr>
          <w:color w:val="000000" w:themeColor="text1"/>
          <w:u w:color="000000" w:themeColor="text1"/>
        </w:rPr>
        <w:t>the Office of State Budget or a state</w:t>
      </w:r>
      <w:r w:rsidRPr="00AB314A">
        <w:rPr>
          <w:color w:val="000000" w:themeColor="text1"/>
          <w:u w:color="000000" w:themeColor="text1"/>
        </w:rPr>
        <w:t xml:space="preserve"> agency, department, or institution that the likelihood of a deficit for the current fiscal year exists, the</w:t>
      </w:r>
      <w:r>
        <w:rPr>
          <w:color w:val="000000" w:themeColor="text1"/>
          <w:u w:color="000000" w:themeColor="text1"/>
        </w:rPr>
        <w:t xml:space="preserve"> state</w:t>
      </w:r>
      <w:r w:rsidRPr="00AB314A">
        <w:rPr>
          <w:color w:val="000000" w:themeColor="text1"/>
          <w:u w:color="000000" w:themeColor="text1"/>
        </w:rPr>
        <w:t xml:space="preserve"> agency shall submit to the Office of State Budget and the General Assembly within fourteen days, a plan to eliminate the projected deficit.  After submission of the plan, if it is determined that the deficit cannot be eliminated by the</w:t>
      </w:r>
      <w:r>
        <w:rPr>
          <w:color w:val="000000" w:themeColor="text1"/>
          <w:u w:color="000000" w:themeColor="text1"/>
        </w:rPr>
        <w:t xml:space="preserve"> state</w:t>
      </w:r>
      <w:r w:rsidRPr="00AB314A">
        <w:rPr>
          <w:color w:val="000000" w:themeColor="text1"/>
          <w:u w:color="000000" w:themeColor="text1"/>
        </w:rPr>
        <w:t xml:space="preserve"> agency, department, or institution on its own, the</w:t>
      </w:r>
      <w:r>
        <w:rPr>
          <w:color w:val="000000" w:themeColor="text1"/>
          <w:u w:color="000000" w:themeColor="text1"/>
        </w:rPr>
        <w:t xml:space="preserve"> state</w:t>
      </w:r>
      <w:r w:rsidRPr="00AB314A">
        <w:rPr>
          <w:color w:val="000000" w:themeColor="text1"/>
          <w:u w:color="000000" w:themeColor="text1"/>
        </w:rPr>
        <w:t xml:space="preserve"> agency is required to officially notify the General Assembly within fifteen days of the determination that the</w:t>
      </w:r>
      <w:r>
        <w:rPr>
          <w:color w:val="000000" w:themeColor="text1"/>
          <w:u w:color="000000" w:themeColor="text1"/>
        </w:rPr>
        <w:t xml:space="preserve"> state</w:t>
      </w:r>
      <w:r w:rsidRPr="00AB314A">
        <w:rPr>
          <w:color w:val="000000" w:themeColor="text1"/>
          <w:u w:color="000000" w:themeColor="text1"/>
        </w:rPr>
        <w:t xml:space="preserve"> agency is requesting that a deficit be recognized.</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w:t>
      </w:r>
      <w:r>
        <w:rPr>
          <w:color w:val="000000" w:themeColor="text1"/>
          <w:u w:color="000000" w:themeColor="text1"/>
        </w:rPr>
        <w:tab/>
        <w:t xml:space="preserve"> </w:t>
      </w:r>
      <w:r w:rsidRPr="00AB314A">
        <w:rPr>
          <w:color w:val="000000" w:themeColor="text1"/>
          <w:u w:color="000000" w:themeColor="text1"/>
        </w:rPr>
        <w:t>(A)</w:t>
      </w:r>
      <w:r>
        <w:rPr>
          <w:color w:val="000000" w:themeColor="text1"/>
          <w:u w:color="000000" w:themeColor="text1"/>
        </w:rPr>
        <w:tab/>
      </w:r>
      <w:r w:rsidRPr="00AB314A">
        <w:rPr>
          <w:color w:val="000000" w:themeColor="text1"/>
          <w:u w:color="000000" w:themeColor="text1"/>
        </w:rPr>
        <w:t>Upon notification from the</w:t>
      </w:r>
      <w:r>
        <w:rPr>
          <w:color w:val="000000" w:themeColor="text1"/>
          <w:u w:color="000000" w:themeColor="text1"/>
        </w:rPr>
        <w:t xml:space="preserve"> state</w:t>
      </w:r>
      <w:r w:rsidRPr="00AB314A">
        <w:rPr>
          <w:color w:val="000000" w:themeColor="text1"/>
          <w:u w:color="000000" w:themeColor="text1"/>
        </w:rPr>
        <w:t xml:space="preserve"> agency, department, or institution, as provided in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30, the General Assembly, by joint resolution, may make a finding that the cause of, or likelihood of, a deficit is unavoidable due to factors which are outside the control of the</w:t>
      </w:r>
      <w:r>
        <w:rPr>
          <w:color w:val="000000" w:themeColor="text1"/>
          <w:u w:color="000000" w:themeColor="text1"/>
        </w:rPr>
        <w:t xml:space="preserve"> state</w:t>
      </w:r>
      <w:r w:rsidRPr="00AB314A">
        <w:rPr>
          <w:color w:val="000000" w:themeColor="text1"/>
          <w:u w:color="000000" w:themeColor="text1"/>
        </w:rPr>
        <w:t xml:space="preserv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(B)</w:t>
      </w:r>
      <w:r>
        <w:rPr>
          <w:color w:val="000000" w:themeColor="text1"/>
          <w:u w:color="000000" w:themeColor="text1"/>
        </w:rPr>
        <w:tab/>
      </w:r>
      <w:r w:rsidRPr="00AB314A">
        <w:rPr>
          <w:color w:val="000000" w:themeColor="text1"/>
          <w:u w:color="000000" w:themeColor="text1"/>
        </w:rPr>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t>50.</w:t>
      </w:r>
      <w:r>
        <w:rPr>
          <w:color w:val="000000" w:themeColor="text1"/>
          <w:u w:color="000000" w:themeColor="text1"/>
        </w:rPr>
        <w:tab/>
        <w:t xml:space="preserve"> </w:t>
      </w:r>
      <w:r w:rsidRPr="00AB314A">
        <w:rPr>
          <w:color w:val="000000" w:themeColor="text1"/>
          <w:u w:color="000000" w:themeColor="text1"/>
        </w:rPr>
        <w:t>Once a deficit has been recognized by the General Assembly, the</w:t>
      </w:r>
      <w:r>
        <w:rPr>
          <w:color w:val="000000" w:themeColor="text1"/>
          <w:u w:color="000000" w:themeColor="text1"/>
        </w:rPr>
        <w:t xml:space="preserve"> state</w:t>
      </w:r>
      <w:r w:rsidRPr="00AB314A">
        <w:rPr>
          <w:color w:val="000000" w:themeColor="text1"/>
          <w:u w:color="000000" w:themeColor="text1"/>
        </w:rPr>
        <w:t xml:space="preserve"> agency, department, or institution shall limit travel and conference attendance to the minimum required to perform its core mission.  In addition, the General Assembly, when recognizing a deficit may direct that any pay increases and purchases of equipment and vehicles must be approved by the Office of State Budget.</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314A">
        <w:rPr>
          <w:color w:val="000000" w:themeColor="text1"/>
          <w:u w:color="000000" w:themeColor="text1"/>
        </w:rPr>
        <w:t>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60.</w:t>
      </w:r>
      <w:r>
        <w:rPr>
          <w:color w:val="000000" w:themeColor="text1"/>
          <w:u w:color="000000" w:themeColor="text1"/>
        </w:rPr>
        <w:tab/>
      </w:r>
      <w:r w:rsidRPr="00AB314A">
        <w:rPr>
          <w:color w:val="000000" w:themeColor="text1"/>
          <w:u w:color="000000" w:themeColor="text1"/>
        </w:rPr>
        <w:tab/>
        <w:t>(A)(1)</w:t>
      </w:r>
      <w:r w:rsidRPr="00AB314A">
        <w:rPr>
          <w:color w:val="000000" w:themeColor="text1"/>
          <w:u w:color="000000" w:themeColor="text1"/>
        </w:rPr>
        <w:tab/>
        <w:t>An officer or employee of this State may not:</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(a)</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make or authorize an expenditure or obligation exceeding the amount available in an existing state appropriation or existing state fund for the expenditure or obligation; or</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r>
      <w:r w:rsidRPr="00AB314A">
        <w:rPr>
          <w:color w:val="000000" w:themeColor="text1"/>
          <w:u w:color="000000" w:themeColor="text1"/>
        </w:rPr>
        <w:tab/>
        <w:t>(b)</w:t>
      </w:r>
      <w:r w:rsidRPr="00AB314A">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(B)</w:t>
      </w:r>
      <w:r w:rsidRPr="00AB314A">
        <w:rPr>
          <w:color w:val="000000" w:themeColor="text1"/>
          <w:u w:color="000000" w:themeColor="text1"/>
        </w:rPr>
        <w:tab/>
        <w:t>Except following the enactment of a joint resolution pursuant to Section 2</w:t>
      </w:r>
      <w:r>
        <w:rPr>
          <w:color w:val="000000" w:themeColor="text1"/>
          <w:u w:color="000000" w:themeColor="text1"/>
        </w:rPr>
        <w:noBreakHyphen/>
      </w:r>
      <w:r w:rsidRPr="00AB314A">
        <w:rPr>
          <w:color w:val="000000" w:themeColor="text1"/>
          <w:u w:color="000000" w:themeColor="text1"/>
        </w:rPr>
        <w:t>79</w:t>
      </w:r>
      <w:r>
        <w:rPr>
          <w:color w:val="000000" w:themeColor="text1"/>
          <w:u w:color="000000" w:themeColor="text1"/>
        </w:rPr>
        <w:noBreakHyphen/>
      </w:r>
      <w:r w:rsidRPr="00AB314A">
        <w:rPr>
          <w:color w:val="000000" w:themeColor="text1"/>
          <w:u w:color="000000" w:themeColor="text1"/>
        </w:rPr>
        <w:t>40, an officer or employee of this State may not make or authorize an expenditure or obligation exceeding appropriated funds available as allowed in a quarterly allocation plan instituted pursuant to 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495(B).</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(C)(1)</w:t>
      </w:r>
      <w:r w:rsidRPr="00AB314A">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As used in this subsection,</w:t>
      </w:r>
      <w:r w:rsidRPr="00AB314A">
        <w:rPr>
          <w:color w:val="000000" w:themeColor="text1"/>
          <w:u w:color="000000" w:themeColor="text1"/>
        </w:rPr>
        <w:tab/>
      </w:r>
      <w:r w:rsidRPr="00160A81">
        <w:rPr>
          <w:color w:val="000000" w:themeColor="text1"/>
          <w:u w:color="000000" w:themeColor="text1"/>
        </w:rPr>
        <w:t>‘</w:t>
      </w:r>
      <w:r w:rsidRPr="00AB314A">
        <w:rPr>
          <w:color w:val="000000" w:themeColor="text1"/>
          <w:u w:color="000000" w:themeColor="text1"/>
        </w:rPr>
        <w:t>emergencies involving the safety of human life or the protection of property</w:t>
      </w:r>
      <w:r w:rsidRPr="00160A81">
        <w:rPr>
          <w:color w:val="000000" w:themeColor="text1"/>
          <w:u w:color="000000" w:themeColor="text1"/>
        </w:rPr>
        <w:t>’</w:t>
      </w:r>
      <w:r w:rsidRPr="00AB314A">
        <w:rPr>
          <w:color w:val="000000" w:themeColor="text1"/>
          <w:u w:color="000000" w:themeColor="text1"/>
        </w:rPr>
        <w:t xml:space="preserve"> do not include ongoing, regular functions of state government the suspension of which would not imminently threaten the safety of human life or the protection of property.</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(D)(1)</w:t>
      </w:r>
      <w:r w:rsidRPr="00AB314A">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r>
      <w:r w:rsidRPr="00AB314A">
        <w:rPr>
          <w:color w:val="000000" w:themeColor="text1"/>
          <w:u w:color="000000" w:themeColor="text1"/>
        </w:rPr>
        <w:tab/>
        <w:t>(2)</w:t>
      </w:r>
      <w:r w:rsidRPr="00AB314A">
        <w:rPr>
          <w:color w:val="000000" w:themeColor="text1"/>
          <w:u w:color="000000" w:themeColor="text1"/>
        </w:rPr>
        <w:tab/>
        <w:t xml:space="preserve">If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or an officer of this State is determined by his employing or appointing authority knowingly and wilfully to have violated a provision of this section, the officer or employee may be dismissed, demoted, or otherwise disciplined.  An </w:t>
      </w:r>
      <w:r w:rsidRPr="00160A81">
        <w:rPr>
          <w:color w:val="000000" w:themeColor="text1"/>
          <w:u w:color="000000" w:themeColor="text1"/>
        </w:rPr>
        <w:t>‘</w:t>
      </w:r>
      <w:r w:rsidRPr="00AB314A">
        <w:rPr>
          <w:color w:val="000000" w:themeColor="text1"/>
          <w:u w:color="000000" w:themeColor="text1"/>
        </w:rPr>
        <w:t>at will</w:t>
      </w:r>
      <w:r w:rsidRPr="00160A81">
        <w:rPr>
          <w:color w:val="000000" w:themeColor="text1"/>
          <w:u w:color="000000" w:themeColor="text1"/>
        </w:rPr>
        <w:t>’</w:t>
      </w:r>
      <w:r w:rsidRPr="00AB314A">
        <w:rPr>
          <w:color w:val="000000" w:themeColor="text1"/>
          <w:u w:color="000000" w:themeColor="text1"/>
        </w:rPr>
        <w:t xml:space="preserve">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(E)</w:t>
      </w:r>
      <w:r w:rsidRPr="00AB314A">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Pr>
          <w:color w:val="000000" w:themeColor="text1"/>
          <w:u w:color="000000" w:themeColor="text1"/>
        </w:rPr>
        <w:noBreakHyphen/>
      </w:r>
      <w:r w:rsidRPr="00AB314A">
        <w:rPr>
          <w:color w:val="000000" w:themeColor="text1"/>
          <w:u w:color="000000" w:themeColor="text1"/>
        </w:rPr>
        <w:t>1</w:t>
      </w:r>
      <w:r>
        <w:rPr>
          <w:color w:val="000000" w:themeColor="text1"/>
          <w:u w:color="000000" w:themeColor="text1"/>
        </w:rPr>
        <w:noBreakHyphen/>
      </w:r>
      <w:r w:rsidRPr="00AB314A">
        <w:rPr>
          <w:color w:val="000000" w:themeColor="text1"/>
          <w:u w:color="000000" w:themeColor="text1"/>
        </w:rPr>
        <w:t>40.”</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SECTION</w:t>
      </w:r>
      <w:r w:rsidRPr="00AB314A">
        <w:rPr>
          <w:color w:val="000000" w:themeColor="text1"/>
          <w:u w:color="000000" w:themeColor="text1"/>
        </w:rPr>
        <w:tab/>
        <w:t>2.</w:t>
      </w:r>
      <w:r w:rsidRPr="00AB314A">
        <w:rPr>
          <w:color w:val="000000" w:themeColor="text1"/>
          <w:u w:color="000000" w:themeColor="text1"/>
        </w:rPr>
        <w:tab/>
        <w:t>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r>
      <w:r w:rsidRPr="00AB314A">
        <w:rPr>
          <w:color w:val="000000" w:themeColor="text1"/>
          <w:u w:color="000000" w:themeColor="text1"/>
        </w:rPr>
        <w:t>495 of the 1976 Code, as last amended by Act 152 of 2010, is further amended to read:</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Pr="009A1458"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4A">
        <w:rPr>
          <w:color w:val="000000" w:themeColor="text1"/>
          <w:u w:color="000000" w:themeColor="text1"/>
        </w:rPr>
        <w:tab/>
        <w:t>“Section 1</w:t>
      </w:r>
      <w:r>
        <w:rPr>
          <w:color w:val="000000" w:themeColor="text1"/>
          <w:u w:color="000000" w:themeColor="text1"/>
        </w:rPr>
        <w:noBreakHyphen/>
      </w:r>
      <w:r w:rsidRPr="00AB314A">
        <w:rPr>
          <w:color w:val="000000" w:themeColor="text1"/>
          <w:u w:color="000000" w:themeColor="text1"/>
        </w:rPr>
        <w:t>11</w:t>
      </w:r>
      <w:r>
        <w:rPr>
          <w:color w:val="000000" w:themeColor="text1"/>
          <w:u w:color="000000" w:themeColor="text1"/>
        </w:rPr>
        <w:noBreakHyphen/>
        <w:t>495.</w:t>
      </w:r>
      <w:r>
        <w:rPr>
          <w:color w:val="000000" w:themeColor="text1"/>
          <w:u w:color="000000" w:themeColor="text1"/>
        </w:rPr>
        <w:tab/>
      </w:r>
      <w:r>
        <w:rPr>
          <w:color w:val="000000" w:themeColor="text1"/>
          <w:u w:color="000000" w:themeColor="text1"/>
        </w:rPr>
        <w:tab/>
      </w:r>
      <w:r w:rsidRPr="009A1458">
        <w:rPr>
          <w:color w:val="000000" w:themeColor="text1"/>
          <w:u w:color="000000" w:themeColor="text1"/>
        </w:rPr>
        <w:t>(A)</w:t>
      </w:r>
      <w:r w:rsidRPr="009A1458">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Pr>
          <w:color w:val="000000" w:themeColor="text1"/>
          <w:u w:color="000000" w:themeColor="text1"/>
        </w:rPr>
        <w:noBreakHyphen/>
      </w:r>
      <w:r w:rsidRPr="009A1458">
        <w:rPr>
          <w:color w:val="000000" w:themeColor="text1"/>
          <w:u w:color="000000" w:themeColor="text1"/>
        </w:rPr>
        <w:t>end aggregate deficit may occur by virtue of a projected shortfall in anticipated revenues, it shall utilize those funds as may be available and required to be used to avoid a year</w:t>
      </w:r>
      <w:r>
        <w:rPr>
          <w:color w:val="000000" w:themeColor="text1"/>
          <w:u w:color="000000" w:themeColor="text1"/>
        </w:rPr>
        <w:noBreakHyphen/>
      </w:r>
      <w:r w:rsidRPr="009A1458">
        <w:rPr>
          <w:color w:val="000000" w:themeColor="text1"/>
          <w:u w:color="000000" w:themeColor="text1"/>
        </w:rPr>
        <w:t xml:space="preserve">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 is subject to </w:t>
      </w:r>
      <w:r w:rsidRPr="009A1458">
        <w:rPr>
          <w:u w:color="000000" w:themeColor="text1"/>
        </w:rPr>
        <w:t>any bill or resolution enacted by the General Assembly.</w:t>
      </w:r>
    </w:p>
    <w:p w:rsidR="00035E47"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1458">
        <w:rPr>
          <w:color w:val="000000" w:themeColor="text1"/>
          <w:u w:color="000000" w:themeColor="text1"/>
        </w:rPr>
        <w:tab/>
        <w:t>(B)</w:t>
      </w:r>
      <w:r w:rsidRPr="009A1458">
        <w:rPr>
          <w:color w:val="000000" w:themeColor="text1"/>
          <w:u w:color="000000" w:themeColor="text1"/>
        </w:rPr>
        <w:tab/>
      </w:r>
      <w:r w:rsidRPr="009A1458">
        <w:t>As far as practicable, all agencies, departments, and institutions of the State are directed to budget and allocate appropriations as a quarterly allocation</w:t>
      </w:r>
      <w:r>
        <w:t>,</w:t>
      </w:r>
      <w:r w:rsidRPr="009A1458">
        <w:t xml:space="preserve"> so as to provide for operation on uniform standards throughout the fiscal year and in order to avoid an operating deficit for the fiscal year.  It is recognized that academic year calendars of state institutions affect the uniformity of the receipt and distribution of funds during </w:t>
      </w:r>
      <w:r>
        <w:t>the year</w:t>
      </w:r>
      <w:r w:rsidRPr="009A1458">
        <w:t>.  The Comptroller General or the Office of State Budget shall make reports to the board</w:t>
      </w:r>
      <w:r>
        <w:t xml:space="preserve"> </w:t>
      </w:r>
      <w:r>
        <w:rPr>
          <w:u w:val="single"/>
        </w:rPr>
        <w:t>and the General Assembly</w:t>
      </w:r>
      <w:r w:rsidRPr="009A1458">
        <w:t xml:space="preserve"> as they consider advisable on an agency, department, or institution that is expending authorized appropriations at a rate which predicts or projects a general fund deficit for the agency, department, or institution.  The board is directed to require the agency, department, or institution to file a quarterly allocations plan and is further authorized to restrict the rate of expenditures of the agency, department, or institution if the board determines that a deficit may occur.  </w:t>
      </w:r>
      <w:r w:rsidRPr="00AD6166">
        <w:rPr>
          <w:strike/>
        </w:rPr>
        <w:t>It is the responsibility of the agency, department, or institution to develop a plan, in consultation with the board, which eliminates or reduces a deficit.  If the board makes a finding that the cause of, or likelihood of, a deficit is unavoidable due to factors which are outside the control of the agency, department, or institution, then the board may determine that the recognition of the agency, department, or institution is appropriate and shall notify the General Assembly of this action or the presiding officer of the House and Senate if the General Assembly is not in session.  The board only may recognize a deficit by a vote of at least four members of the board.</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83AA6">
        <w:rPr>
          <w:strike/>
        </w:rPr>
        <w:t>(C)</w:t>
      </w:r>
      <w:r w:rsidRPr="00160A81">
        <w:tab/>
      </w:r>
      <w:r w:rsidRPr="00C83AA6">
        <w:rPr>
          <w:strike/>
        </w:rPr>
        <w:t>Upon receipt of the notification from the board, the General Assembly may authorize supplemental appropriations from any surplus revenues that existed at the close of the previous fiscal year.  If the General Assembly fails to take action, then the finding of the board shall stand, and the actual deficit at the close of the fiscal year must be reduced as necessary from surplus revenues or surplus funds available at the close of the fiscal year in which the deficit occurs and from funds available in the Capital Reserve Fund and General Reserve Fund, as required by the Constitution of this State.  If the board finds that the cause of or likelihood of a deficit is the result of the agency, department, or institution management, then the state officials responsible for management of the agency, department, or institution involved must be held liable for it and the board shall notify the Agency Head Salary Commission of this finding.  In the case of a finding that a projected deficit is the result of the management of the agency, department, or institution, the board shall take steps immediately to curtail agency, department, or institution expenditures so as to bring expenditures in line with authorized appropriations and avoid a year</w:t>
      </w:r>
      <w:r>
        <w:rPr>
          <w:strike/>
        </w:rPr>
        <w:noBreakHyphen/>
      </w:r>
      <w:r w:rsidRPr="00C83AA6">
        <w:rPr>
          <w:strike/>
        </w:rPr>
        <w:t>end operating deficit.</w:t>
      </w:r>
      <w:r w:rsidRPr="009A1458">
        <w:t>”</w:t>
      </w:r>
    </w:p>
    <w:p w:rsidR="00035E47" w:rsidRPr="00AB314A"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E47" w:rsidRDefault="00035E47" w:rsidP="00AD6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AB314A">
        <w:rPr>
          <w:color w:val="000000" w:themeColor="text1"/>
          <w:u w:color="000000" w:themeColor="text1"/>
        </w:rPr>
        <w:t>3.</w:t>
      </w:r>
      <w:r>
        <w:rPr>
          <w:color w:val="000000" w:themeColor="text1"/>
          <w:u w:color="000000" w:themeColor="text1"/>
        </w:rPr>
        <w:tab/>
      </w:r>
      <w:r w:rsidRPr="00AB314A">
        <w:rPr>
          <w:color w:val="000000" w:themeColor="text1"/>
          <w:u w:color="000000" w:themeColor="text1"/>
        </w:rPr>
        <w:t>This act takes effect upon approval by the Governor and applies to fiscal years beginning after fiscal year 2010</w:t>
      </w:r>
      <w:r>
        <w:rPr>
          <w:color w:val="000000" w:themeColor="text1"/>
          <w:u w:color="000000" w:themeColor="text1"/>
        </w:rPr>
        <w:noBreakHyphen/>
      </w:r>
      <w:r w:rsidRPr="00AB314A">
        <w:rPr>
          <w:color w:val="000000" w:themeColor="text1"/>
          <w:u w:color="000000" w:themeColor="text1"/>
        </w:rPr>
        <w:t>2011.</w:t>
      </w:r>
    </w:p>
    <w:p w:rsidR="00035E47" w:rsidRDefault="00035E47" w:rsidP="002A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45B5" w:rsidRDefault="00CC45B5" w:rsidP="0003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45B5" w:rsidSect="007574A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AA6" w:rsidRDefault="00C83AA6" w:rsidP="009F0C77">
      <w:r>
        <w:separator/>
      </w:r>
    </w:p>
  </w:endnote>
  <w:endnote w:type="continuationSeparator" w:id="0">
    <w:p w:rsidR="00C83AA6" w:rsidRDefault="00C83A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464BDF-99E4-4C69-817E-C23484C13F4A}"/>
    <w:embedBold r:id="rId2" w:fontKey="{62C46B60-576F-4D3B-B62B-F37CDD11E7DA}"/>
    <w:embedItalic r:id="rId3" w:fontKey="{0EA6B32D-6E3E-4FD5-894E-F38A8EE9CCC6}"/>
  </w:font>
  <w:font w:name="Calibri">
    <w:panose1 w:val="020F0502020204030204"/>
    <w:charset w:val="00"/>
    <w:family w:val="swiss"/>
    <w:pitch w:val="variable"/>
    <w:sig w:usb0="E10002FF" w:usb1="4000ACFF" w:usb2="00000009" w:usb3="00000000" w:csb0="0000019F" w:csb1="00000000"/>
    <w:embedRegular r:id="rId4" w:fontKey="{FBA5A777-F257-4DAA-A4E6-3FA32DF22901}"/>
  </w:font>
  <w:font w:name="Tahoma">
    <w:panose1 w:val="020B0604030504040204"/>
    <w:charset w:val="00"/>
    <w:family w:val="swiss"/>
    <w:pitch w:val="variable"/>
    <w:sig w:usb0="21002A87" w:usb1="80000000" w:usb2="00000008" w:usb3="00000000" w:csb0="000101FF" w:csb1="00000000"/>
    <w:embedRegular r:id="rId5" w:fontKey="{FD2A88B7-4C03-42B8-BA4D-3B11D7AE073C}"/>
  </w:font>
  <w:font w:name="Cambria">
    <w:panose1 w:val="02040503050406030204"/>
    <w:charset w:val="00"/>
    <w:family w:val="roman"/>
    <w:pitch w:val="variable"/>
    <w:sig w:usb0="E00002FF" w:usb1="400004FF" w:usb2="00000000" w:usb3="00000000" w:csb0="0000019F" w:csb1="00000000"/>
    <w:embedRegular r:id="rId6" w:fontKey="{ED58AD3D-94DA-4571-B4F6-C4FC3F0E7C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E47" w:rsidRPr="00CC45B5" w:rsidRDefault="00035E47" w:rsidP="00CC45B5">
    <w:pPr>
      <w:pStyle w:val="Footer"/>
      <w:tabs>
        <w:tab w:val="clear" w:pos="4680"/>
        <w:tab w:val="clear" w:pos="9360"/>
        <w:tab w:val="center" w:pos="2995"/>
      </w:tabs>
      <w:spacing w:before="120"/>
    </w:pPr>
    <w:r>
      <w:t>[372-</w:t>
    </w:r>
    <w:r w:rsidR="006E1484">
      <w:fldChar w:fldCharType="begin"/>
    </w:r>
    <w:r w:rsidR="006E1484">
      <w:instrText xml:space="preserve"> PAGE  \* MERGEFORMAT </w:instrText>
    </w:r>
    <w:r w:rsidR="006E1484">
      <w:fldChar w:fldCharType="separate"/>
    </w:r>
    <w:r w:rsidR="006E1484">
      <w:rPr>
        <w:noProof/>
      </w:rPr>
      <w:t>1</w:t>
    </w:r>
    <w:r w:rsidR="006E14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A5" w:rsidRPr="00CC45B5" w:rsidRDefault="00035E47" w:rsidP="00CC45B5">
    <w:pPr>
      <w:pStyle w:val="Footer"/>
      <w:tabs>
        <w:tab w:val="clear" w:pos="4680"/>
        <w:tab w:val="clear" w:pos="9360"/>
        <w:tab w:val="center" w:pos="2995"/>
      </w:tabs>
      <w:spacing w:before="120"/>
    </w:pPr>
    <w:r>
      <w:t>[372]</w:t>
    </w:r>
    <w:r>
      <w:tab/>
    </w:r>
    <w:r w:rsidR="002D44C5">
      <w:fldChar w:fldCharType="begin"/>
    </w:r>
    <w:r>
      <w:instrText xml:space="preserve"> PAGE  \* MERGEFORMAT </w:instrText>
    </w:r>
    <w:r w:rsidR="002D44C5">
      <w:fldChar w:fldCharType="separate"/>
    </w:r>
    <w:r>
      <w:rPr>
        <w:noProof/>
      </w:rPr>
      <w:t>5</w:t>
    </w:r>
    <w:r w:rsidR="002D44C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AA6" w:rsidRDefault="00C83AA6" w:rsidP="009F0C77">
      <w:r>
        <w:separator/>
      </w:r>
    </w:p>
  </w:footnote>
  <w:footnote w:type="continuationSeparator" w:id="0">
    <w:p w:rsidR="00C83AA6" w:rsidRDefault="00C83A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7DG11"/>
    <w:docVar w:name="CoverBillType" w:val="b"/>
    <w:docVar w:name="docpath" w:val="L:\Council\bills\NBD\11137DG11.DOCX"/>
    <w:docVar w:name="dvBillNumber" w:val="372"/>
    <w:docVar w:name="dvBillNumberPrefix" w:val="S. "/>
    <w:docVar w:name="dvOriginalBody" w:val="Senate"/>
    <w:docVar w:name="dvSteno" w:val="NBD"/>
    <w:docVar w:name="NameofBody" w:val="s"/>
    <w:docVar w:name="vgroup2" w:val="Council"/>
  </w:docVars>
  <w:rsids>
    <w:rsidRoot w:val="00F74162"/>
    <w:rsid w:val="00026C9A"/>
    <w:rsid w:val="00035E47"/>
    <w:rsid w:val="00046E52"/>
    <w:rsid w:val="00047534"/>
    <w:rsid w:val="000965A1"/>
    <w:rsid w:val="000E1785"/>
    <w:rsid w:val="001023A4"/>
    <w:rsid w:val="0010776B"/>
    <w:rsid w:val="0011062E"/>
    <w:rsid w:val="0012314C"/>
    <w:rsid w:val="00133E66"/>
    <w:rsid w:val="00134ACF"/>
    <w:rsid w:val="00144E15"/>
    <w:rsid w:val="00152BDD"/>
    <w:rsid w:val="00160A81"/>
    <w:rsid w:val="0018444D"/>
    <w:rsid w:val="00191C42"/>
    <w:rsid w:val="001A4A62"/>
    <w:rsid w:val="001A601B"/>
    <w:rsid w:val="001A681E"/>
    <w:rsid w:val="001C6A1F"/>
    <w:rsid w:val="001D08F2"/>
    <w:rsid w:val="001F087B"/>
    <w:rsid w:val="002037CA"/>
    <w:rsid w:val="002047A2"/>
    <w:rsid w:val="002321B6"/>
    <w:rsid w:val="0023696B"/>
    <w:rsid w:val="00250967"/>
    <w:rsid w:val="002759C5"/>
    <w:rsid w:val="00277DEE"/>
    <w:rsid w:val="00280D88"/>
    <w:rsid w:val="00294ABE"/>
    <w:rsid w:val="002A1616"/>
    <w:rsid w:val="002A3EB4"/>
    <w:rsid w:val="002B21AC"/>
    <w:rsid w:val="002D44C5"/>
    <w:rsid w:val="002E5C7F"/>
    <w:rsid w:val="002F3F51"/>
    <w:rsid w:val="00321E59"/>
    <w:rsid w:val="00325348"/>
    <w:rsid w:val="00393688"/>
    <w:rsid w:val="003A1406"/>
    <w:rsid w:val="003C0C31"/>
    <w:rsid w:val="003D411E"/>
    <w:rsid w:val="003E3C1E"/>
    <w:rsid w:val="003E6148"/>
    <w:rsid w:val="003E6E51"/>
    <w:rsid w:val="003F0CC3"/>
    <w:rsid w:val="00400EAA"/>
    <w:rsid w:val="0041760A"/>
    <w:rsid w:val="004765BF"/>
    <w:rsid w:val="004809EE"/>
    <w:rsid w:val="00511EE9"/>
    <w:rsid w:val="00521E00"/>
    <w:rsid w:val="00552C3D"/>
    <w:rsid w:val="00577C6C"/>
    <w:rsid w:val="0058501B"/>
    <w:rsid w:val="005A04A6"/>
    <w:rsid w:val="006215AA"/>
    <w:rsid w:val="006253E5"/>
    <w:rsid w:val="006340D9"/>
    <w:rsid w:val="00643B8E"/>
    <w:rsid w:val="00665EBC"/>
    <w:rsid w:val="0069470D"/>
    <w:rsid w:val="006A476C"/>
    <w:rsid w:val="006B4FEF"/>
    <w:rsid w:val="006C1604"/>
    <w:rsid w:val="006C6A93"/>
    <w:rsid w:val="006E02F9"/>
    <w:rsid w:val="006E1484"/>
    <w:rsid w:val="00753C04"/>
    <w:rsid w:val="00756946"/>
    <w:rsid w:val="00757F80"/>
    <w:rsid w:val="00771EEC"/>
    <w:rsid w:val="00786819"/>
    <w:rsid w:val="00796B92"/>
    <w:rsid w:val="007A325A"/>
    <w:rsid w:val="007F1523"/>
    <w:rsid w:val="007F509E"/>
    <w:rsid w:val="007F5799"/>
    <w:rsid w:val="007F6947"/>
    <w:rsid w:val="00872729"/>
    <w:rsid w:val="008C7D04"/>
    <w:rsid w:val="008E49F4"/>
    <w:rsid w:val="008F4429"/>
    <w:rsid w:val="009352BB"/>
    <w:rsid w:val="00962836"/>
    <w:rsid w:val="00967B73"/>
    <w:rsid w:val="00990668"/>
    <w:rsid w:val="009D141A"/>
    <w:rsid w:val="009F0C77"/>
    <w:rsid w:val="009F4DD1"/>
    <w:rsid w:val="00A41A0B"/>
    <w:rsid w:val="00A64E80"/>
    <w:rsid w:val="00A741D9"/>
    <w:rsid w:val="00A9741D"/>
    <w:rsid w:val="00AB73D5"/>
    <w:rsid w:val="00AD4B17"/>
    <w:rsid w:val="00AD6166"/>
    <w:rsid w:val="00B05983"/>
    <w:rsid w:val="00B06922"/>
    <w:rsid w:val="00B06E4B"/>
    <w:rsid w:val="00B26FA6"/>
    <w:rsid w:val="00B31488"/>
    <w:rsid w:val="00B42CC0"/>
    <w:rsid w:val="00B741CB"/>
    <w:rsid w:val="00B863D5"/>
    <w:rsid w:val="00B912BC"/>
    <w:rsid w:val="00B934F3"/>
    <w:rsid w:val="00BB6347"/>
    <w:rsid w:val="00BD2134"/>
    <w:rsid w:val="00BF68F1"/>
    <w:rsid w:val="00C038D8"/>
    <w:rsid w:val="00C045DD"/>
    <w:rsid w:val="00C05EE2"/>
    <w:rsid w:val="00C3136F"/>
    <w:rsid w:val="00C3483A"/>
    <w:rsid w:val="00C74E9D"/>
    <w:rsid w:val="00C767EB"/>
    <w:rsid w:val="00C82FD3"/>
    <w:rsid w:val="00C83AA6"/>
    <w:rsid w:val="00CB6617"/>
    <w:rsid w:val="00CC45B5"/>
    <w:rsid w:val="00CC6B7B"/>
    <w:rsid w:val="00CD0FCD"/>
    <w:rsid w:val="00CD3619"/>
    <w:rsid w:val="00CF4447"/>
    <w:rsid w:val="00D010B0"/>
    <w:rsid w:val="00D25FDE"/>
    <w:rsid w:val="00D405E7"/>
    <w:rsid w:val="00D41B89"/>
    <w:rsid w:val="00D41D56"/>
    <w:rsid w:val="00D6260D"/>
    <w:rsid w:val="00D6662B"/>
    <w:rsid w:val="00D90891"/>
    <w:rsid w:val="00D95E2F"/>
    <w:rsid w:val="00D970A9"/>
    <w:rsid w:val="00DA11A7"/>
    <w:rsid w:val="00DB3AC0"/>
    <w:rsid w:val="00DE3087"/>
    <w:rsid w:val="00DE68F0"/>
    <w:rsid w:val="00DF3845"/>
    <w:rsid w:val="00DF7E17"/>
    <w:rsid w:val="00E02FD2"/>
    <w:rsid w:val="00E45A0C"/>
    <w:rsid w:val="00E51665"/>
    <w:rsid w:val="00EB00A2"/>
    <w:rsid w:val="00EB1BF3"/>
    <w:rsid w:val="00EC2669"/>
    <w:rsid w:val="00ED08E1"/>
    <w:rsid w:val="00EF3EEE"/>
    <w:rsid w:val="00F0674B"/>
    <w:rsid w:val="00F149A7"/>
    <w:rsid w:val="00F46F49"/>
    <w:rsid w:val="00F50BAF"/>
    <w:rsid w:val="00F52C10"/>
    <w:rsid w:val="00F63259"/>
    <w:rsid w:val="00F74162"/>
    <w:rsid w:val="00F81FFD"/>
    <w:rsid w:val="00F85228"/>
    <w:rsid w:val="00FB6773"/>
    <w:rsid w:val="00FE1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1B4F64-90CA-4CCF-81D5-FF7124DA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83AA6"/>
    <w:rPr>
      <w:rFonts w:ascii="Tahoma" w:hAnsi="Tahoma" w:cs="Tahoma"/>
      <w:sz w:val="16"/>
      <w:szCs w:val="16"/>
    </w:rPr>
  </w:style>
  <w:style w:type="character" w:customStyle="1" w:styleId="BalloonTextChar">
    <w:name w:val="Balloon Text Char"/>
    <w:basedOn w:val="DefaultParagraphFont"/>
    <w:link w:val="BalloonText"/>
    <w:uiPriority w:val="99"/>
    <w:semiHidden/>
    <w:rsid w:val="00C83AA6"/>
    <w:rPr>
      <w:rFonts w:ascii="Tahoma" w:eastAsia="Times New Roman" w:hAnsi="Tahoma" w:cs="Tahoma"/>
      <w:sz w:val="16"/>
      <w:szCs w:val="16"/>
    </w:rPr>
  </w:style>
  <w:style w:type="character" w:styleId="Hyperlink">
    <w:name w:val="Hyperlink"/>
    <w:basedOn w:val="DefaultParagraphFont"/>
    <w:uiPriority w:val="99"/>
    <w:unhideWhenUsed/>
    <w:rsid w:val="008E49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8-11.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1\01-18-11.docx" TargetMode="External"/><Relationship Id="rId12" Type="http://schemas.openxmlformats.org/officeDocument/2006/relationships/hyperlink" Target="file:///p:\pprever\2011-12\372_20120119.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72_20120118.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372_20110118.docx" TargetMode="External"/><Relationship Id="rId4" Type="http://schemas.openxmlformats.org/officeDocument/2006/relationships/webSettings" Target="webSettings.xml"/><Relationship Id="rId9" Type="http://schemas.openxmlformats.org/officeDocument/2006/relationships/hyperlink" Target="file:///h:\sj%20archive\2012\01-18-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71731-1387-423D-A54B-DA690DF3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2176</Words>
  <Characters>11545</Characters>
  <Application>Microsoft Office Word</Application>
  <DocSecurity>4</DocSecurity>
  <Lines>304</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372: State Agency Deficit Prevention and Recognition Act - South Carolina Legislature Online</dc:title>
  <dc:subject/>
  <dc:creator>NikiDowney</dc:creator>
  <cp:keywords/>
  <dc:description/>
  <cp:lastModifiedBy>N Cumfer</cp:lastModifiedBy>
  <cp:revision>2</cp:revision>
  <cp:lastPrinted>2011-01-18T16:58:00Z</cp:lastPrinted>
  <dcterms:created xsi:type="dcterms:W3CDTF">2014-11-21T20:37:00Z</dcterms:created>
  <dcterms:modified xsi:type="dcterms:W3CDTF">2014-11-21T20:37:00Z</dcterms:modified>
</cp:coreProperties>
</file>