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A7D" w:rsidRDefault="00AD0A7D" w:rsidP="00AD0A7D">
      <w:pPr>
        <w:widowControl w:val="0"/>
        <w:jc w:val="center"/>
      </w:pPr>
      <w:bookmarkStart w:id="0" w:name="_GoBack"/>
      <w:bookmarkEnd w:id="0"/>
      <w:r w:rsidRPr="00AD0A7D">
        <w:rPr>
          <w:b/>
        </w:rPr>
        <w:t>South Carolina General Assembly</w:t>
      </w:r>
    </w:p>
    <w:p w:rsidR="00AD0A7D" w:rsidRDefault="00AD0A7D" w:rsidP="00AD0A7D">
      <w:pPr>
        <w:widowControl w:val="0"/>
        <w:jc w:val="center"/>
      </w:pPr>
      <w:r>
        <w:t>119th Session, 2011-2012</w:t>
      </w:r>
    </w:p>
    <w:p w:rsidR="00AD0A7D" w:rsidRDefault="00AD0A7D" w:rsidP="00AD0A7D">
      <w:pPr>
        <w:widowControl w:val="0"/>
        <w:jc w:val="left"/>
      </w:pPr>
    </w:p>
    <w:p w:rsidR="00AD0A7D" w:rsidRDefault="00AD0A7D" w:rsidP="00AD0A7D">
      <w:pPr>
        <w:widowControl w:val="0"/>
        <w:jc w:val="left"/>
        <w:rPr>
          <w:b/>
        </w:rPr>
      </w:pPr>
      <w:r w:rsidRPr="00AD0A7D">
        <w:rPr>
          <w:b/>
        </w:rPr>
        <w:t>H. 3887</w:t>
      </w:r>
    </w:p>
    <w:p w:rsidR="00AD0A7D" w:rsidRDefault="00AD0A7D" w:rsidP="00AD0A7D">
      <w:pPr>
        <w:widowControl w:val="0"/>
        <w:jc w:val="left"/>
        <w:rPr>
          <w:b/>
        </w:rPr>
      </w:pPr>
    </w:p>
    <w:p w:rsidR="00AD0A7D" w:rsidRDefault="00AD0A7D" w:rsidP="00AD0A7D">
      <w:pPr>
        <w:widowControl w:val="0"/>
        <w:jc w:val="left"/>
      </w:pPr>
      <w:r w:rsidRPr="00AD0A7D">
        <w:rPr>
          <w:b/>
        </w:rPr>
        <w:t>STATUS INFORMATION</w:t>
      </w:r>
    </w:p>
    <w:p w:rsidR="00AD0A7D" w:rsidRDefault="00AD0A7D" w:rsidP="00AD0A7D">
      <w:pPr>
        <w:widowControl w:val="0"/>
        <w:jc w:val="left"/>
      </w:pPr>
    </w:p>
    <w:p w:rsidR="00AD0A7D" w:rsidRDefault="00AD0A7D" w:rsidP="00AD0A7D">
      <w:pPr>
        <w:widowControl w:val="0"/>
        <w:jc w:val="left"/>
      </w:pPr>
      <w:r>
        <w:t>General Bill</w:t>
      </w:r>
    </w:p>
    <w:p w:rsidR="00AD0A7D" w:rsidRDefault="00AD0A7D" w:rsidP="00AD0A7D">
      <w:pPr>
        <w:widowControl w:val="0"/>
        <w:jc w:val="left"/>
      </w:pPr>
      <w:r>
        <w:t>Sponsors: Rep. J.E. Smith</w:t>
      </w:r>
    </w:p>
    <w:p w:rsidR="00AD0A7D" w:rsidRDefault="00AD0A7D" w:rsidP="00AD0A7D">
      <w:pPr>
        <w:widowControl w:val="0"/>
        <w:jc w:val="left"/>
      </w:pPr>
      <w:r>
        <w:t>Document Path: l:\council\bills\dka\3536sd11.docx</w:t>
      </w:r>
    </w:p>
    <w:p w:rsidR="00AD0A7D" w:rsidRDefault="00AD0A7D" w:rsidP="00AD0A7D">
      <w:pPr>
        <w:widowControl w:val="0"/>
        <w:jc w:val="left"/>
      </w:pPr>
    </w:p>
    <w:p w:rsidR="00AD0A7D" w:rsidRDefault="00AD0A7D" w:rsidP="00AD0A7D">
      <w:pPr>
        <w:widowControl w:val="0"/>
        <w:jc w:val="left"/>
      </w:pPr>
      <w:r>
        <w:t>Introduced in the House on March 9, 2011</w:t>
      </w:r>
    </w:p>
    <w:p w:rsidR="00AD0A7D" w:rsidRDefault="00AD0A7D" w:rsidP="00AD0A7D">
      <w:pPr>
        <w:widowControl w:val="0"/>
        <w:jc w:val="left"/>
      </w:pPr>
      <w:r>
        <w:t xml:space="preserve">Currently residing in the House Committee on </w:t>
      </w:r>
      <w:r w:rsidRPr="00AD0A7D">
        <w:rPr>
          <w:b/>
        </w:rPr>
        <w:t>Ways and Means</w:t>
      </w:r>
    </w:p>
    <w:p w:rsidR="00AD0A7D" w:rsidRDefault="00AD0A7D" w:rsidP="00AD0A7D">
      <w:pPr>
        <w:widowControl w:val="0"/>
        <w:jc w:val="left"/>
      </w:pPr>
    </w:p>
    <w:p w:rsidR="00AD0A7D" w:rsidRDefault="00AD0A7D" w:rsidP="00AD0A7D">
      <w:pPr>
        <w:widowControl w:val="0"/>
        <w:jc w:val="left"/>
      </w:pPr>
      <w:r>
        <w:t xml:space="preserve">Summary: </w:t>
      </w:r>
      <w:r w:rsidR="004D5142">
        <w:t>Biennial State Appropriation Act</w:t>
      </w:r>
    </w:p>
    <w:p w:rsidR="00AD0A7D" w:rsidRDefault="00AD0A7D" w:rsidP="00AD0A7D">
      <w:pPr>
        <w:widowControl w:val="0"/>
        <w:jc w:val="left"/>
      </w:pPr>
    </w:p>
    <w:p w:rsidR="00AD0A7D" w:rsidRDefault="00AD0A7D" w:rsidP="00AD0A7D">
      <w:pPr>
        <w:widowControl w:val="0"/>
        <w:jc w:val="left"/>
      </w:pPr>
    </w:p>
    <w:p w:rsidR="00AD0A7D" w:rsidRDefault="00AD0A7D" w:rsidP="00AD0A7D">
      <w:pPr>
        <w:widowControl w:val="0"/>
        <w:tabs>
          <w:tab w:val="center" w:pos="590"/>
          <w:tab w:val="center" w:pos="1440"/>
          <w:tab w:val="left" w:pos="1872"/>
          <w:tab w:val="left" w:pos="9187"/>
        </w:tabs>
        <w:jc w:val="left"/>
      </w:pPr>
      <w:r w:rsidRPr="00AD0A7D">
        <w:rPr>
          <w:b/>
        </w:rPr>
        <w:t>HISTORY OF LEGISLATIVE ACTIONS</w:t>
      </w:r>
    </w:p>
    <w:p w:rsidR="00AD0A7D" w:rsidRDefault="00AD0A7D" w:rsidP="00AD0A7D">
      <w:pPr>
        <w:widowControl w:val="0"/>
        <w:tabs>
          <w:tab w:val="center" w:pos="590"/>
          <w:tab w:val="center" w:pos="1440"/>
          <w:tab w:val="left" w:pos="1872"/>
          <w:tab w:val="left" w:pos="9187"/>
        </w:tabs>
        <w:jc w:val="left"/>
      </w:pPr>
    </w:p>
    <w:p w:rsidR="00AD0A7D" w:rsidRPr="00AD0A7D" w:rsidRDefault="00AD0A7D" w:rsidP="00AD0A7D">
      <w:pPr>
        <w:widowControl w:val="0"/>
        <w:tabs>
          <w:tab w:val="center" w:pos="590"/>
          <w:tab w:val="center" w:pos="1440"/>
          <w:tab w:val="left" w:pos="1872"/>
          <w:tab w:val="left" w:pos="9187"/>
        </w:tabs>
        <w:jc w:val="left"/>
      </w:pPr>
      <w:r w:rsidRPr="00AD0A7D">
        <w:rPr>
          <w:u w:val="single"/>
        </w:rPr>
        <w:tab/>
        <w:t>Date</w:t>
      </w:r>
      <w:r w:rsidRPr="00AD0A7D">
        <w:rPr>
          <w:u w:val="single"/>
        </w:rPr>
        <w:tab/>
        <w:t>Body</w:t>
      </w:r>
      <w:r w:rsidRPr="00AD0A7D">
        <w:rPr>
          <w:u w:val="single"/>
        </w:rPr>
        <w:tab/>
        <w:t>Action Description with journal page number</w:t>
      </w:r>
      <w:r w:rsidRPr="00AD0A7D">
        <w:rPr>
          <w:u w:val="single"/>
        </w:rPr>
        <w:tab/>
      </w:r>
    </w:p>
    <w:p w:rsidR="002513DE" w:rsidRDefault="002513DE" w:rsidP="002513DE">
      <w:pPr>
        <w:widowControl w:val="0"/>
        <w:tabs>
          <w:tab w:val="right" w:pos="1008"/>
          <w:tab w:val="left" w:pos="1152"/>
          <w:tab w:val="left" w:pos="1872"/>
          <w:tab w:val="left" w:pos="9187"/>
        </w:tabs>
        <w:ind w:left="2088" w:hanging="2088"/>
        <w:jc w:val="left"/>
      </w:pPr>
      <w:r>
        <w:tab/>
        <w:t>3/9/2011</w:t>
      </w:r>
      <w:r>
        <w:tab/>
        <w:t>House</w:t>
      </w:r>
      <w:r>
        <w:tab/>
      </w:r>
      <w:r w:rsidRPr="00B94D9C">
        <w:t>Introduced and read first time (</w:t>
      </w:r>
      <w:hyperlink r:id="rId7" w:history="1">
        <w:r w:rsidRPr="00B94D9C">
          <w:rPr>
            <w:rStyle w:val="Hyperlink"/>
          </w:rPr>
          <w:t>House Journal</w:t>
        </w:r>
        <w:r w:rsidRPr="00B94D9C">
          <w:rPr>
            <w:rStyle w:val="Hyperlink"/>
          </w:rPr>
          <w:noBreakHyphen/>
          <w:t>page 11</w:t>
        </w:r>
      </w:hyperlink>
      <w:r w:rsidRPr="00B94D9C">
        <w:t>)</w:t>
      </w:r>
    </w:p>
    <w:p w:rsidR="002513DE" w:rsidRDefault="002513DE" w:rsidP="002513DE">
      <w:pPr>
        <w:widowControl w:val="0"/>
        <w:tabs>
          <w:tab w:val="right" w:pos="1008"/>
          <w:tab w:val="left" w:pos="1152"/>
          <w:tab w:val="left" w:pos="1872"/>
          <w:tab w:val="left" w:pos="9187"/>
        </w:tabs>
        <w:ind w:left="2088" w:hanging="2088"/>
        <w:jc w:val="left"/>
      </w:pPr>
      <w:r>
        <w:tab/>
        <w:t>3/9/2011</w:t>
      </w:r>
      <w:r>
        <w:tab/>
        <w:t>House</w:t>
      </w:r>
      <w:r>
        <w:tab/>
      </w:r>
      <w:r w:rsidRPr="00B94D9C">
        <w:t>Referred</w:t>
      </w:r>
      <w:r>
        <w:t xml:space="preserve"> to Committee on </w:t>
      </w:r>
      <w:r w:rsidRPr="00B94D9C">
        <w:rPr>
          <w:b/>
        </w:rPr>
        <w:t>Ways and Means</w:t>
      </w:r>
      <w:r>
        <w:t xml:space="preserve"> </w:t>
      </w:r>
      <w:r w:rsidRPr="00B94D9C">
        <w:t>(</w:t>
      </w:r>
      <w:hyperlink r:id="rId8" w:history="1">
        <w:r w:rsidRPr="00B94D9C">
          <w:rPr>
            <w:rStyle w:val="Hyperlink"/>
          </w:rPr>
          <w:t>House Journal</w:t>
        </w:r>
        <w:r w:rsidRPr="00B94D9C">
          <w:rPr>
            <w:rStyle w:val="Hyperlink"/>
          </w:rPr>
          <w:noBreakHyphen/>
          <w:t>page 11</w:t>
        </w:r>
      </w:hyperlink>
      <w:r w:rsidRPr="00B94D9C">
        <w:t>)</w:t>
      </w:r>
    </w:p>
    <w:p w:rsidR="002513DE" w:rsidRDefault="002513DE" w:rsidP="002513DE">
      <w:pPr>
        <w:widowControl w:val="0"/>
        <w:tabs>
          <w:tab w:val="right" w:pos="1008"/>
          <w:tab w:val="left" w:pos="1152"/>
          <w:tab w:val="left" w:pos="1872"/>
          <w:tab w:val="left" w:pos="9187"/>
        </w:tabs>
        <w:ind w:left="2088" w:hanging="2088"/>
        <w:jc w:val="left"/>
      </w:pPr>
    </w:p>
    <w:p w:rsidR="00AD0A7D" w:rsidRPr="00AD0A7D" w:rsidRDefault="00AD0A7D" w:rsidP="00AD0A7D">
      <w:pPr>
        <w:widowControl w:val="0"/>
        <w:tabs>
          <w:tab w:val="right" w:pos="1008"/>
          <w:tab w:val="left" w:pos="1152"/>
          <w:tab w:val="left" w:pos="1872"/>
          <w:tab w:val="left" w:pos="9187"/>
        </w:tabs>
        <w:ind w:left="2088" w:hanging="2088"/>
        <w:jc w:val="left"/>
      </w:pPr>
    </w:p>
    <w:p w:rsidR="00AD0A7D" w:rsidRDefault="00AD0A7D" w:rsidP="00AD0A7D">
      <w:pPr>
        <w:widowControl w:val="0"/>
        <w:jc w:val="left"/>
      </w:pPr>
      <w:r w:rsidRPr="00AD0A7D">
        <w:rPr>
          <w:b/>
        </w:rPr>
        <w:t>VERSIONS OF THIS BILL</w:t>
      </w:r>
    </w:p>
    <w:p w:rsidR="00AD0A7D" w:rsidRDefault="00AD0A7D" w:rsidP="00AD0A7D">
      <w:pPr>
        <w:widowControl w:val="0"/>
        <w:jc w:val="left"/>
      </w:pPr>
    </w:p>
    <w:p w:rsidR="00AD0A7D" w:rsidRDefault="00E95FE1" w:rsidP="00AD0A7D">
      <w:pPr>
        <w:widowControl w:val="0"/>
        <w:jc w:val="left"/>
      </w:pPr>
      <w:hyperlink r:id="rId9" w:history="1">
        <w:r w:rsidR="00AD0A7D">
          <w:rPr>
            <w:rStyle w:val="Hyperlink"/>
          </w:rPr>
          <w:t>3/9/2011</w:t>
        </w:r>
      </w:hyperlink>
    </w:p>
    <w:p w:rsidR="00AD0A7D" w:rsidRDefault="00AD0A7D" w:rsidP="00AD0A7D"/>
    <w:p w:rsidR="00AD0A7D" w:rsidRDefault="00AD0A7D" w:rsidP="00AD0A7D">
      <w:pPr>
        <w:sectPr w:rsidR="00AD0A7D" w:rsidSect="00AD0A7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D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BF5"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w:t>
      </w:r>
      <w:r>
        <w:rPr>
          <w:rFonts w:eastAsiaTheme="minorHAnsi"/>
          <w:szCs w:val="22"/>
        </w:rPr>
        <w:noBreakHyphen/>
        <w:t>7</w:t>
      </w:r>
      <w:r>
        <w:rPr>
          <w:rFonts w:eastAsiaTheme="minorHAnsi"/>
          <w:szCs w:val="22"/>
        </w:rPr>
        <w:noBreakHyphen/>
        <w:t>60, CODE OF LAWS OF SOUTH CAROLINA, 1976, RELATING TO THE ANNUAL GENERAL APPROPRIATIONS ACT, SO AS TO PROVIDE THAT, BEGINNING WITH ITS 2012 SESSION, THE GENERAL ASSEMBLY SHALL ENACT A BIENNIAL STATE GENERAL APPROPRIATIONS ACT.</w:t>
      </w:r>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BF5" w:rsidRDefault="006D4DE4"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0BF5">
        <w:tab/>
        <w:t>Section 2-7-60 of the 1976 Code is amended to read:</w:t>
      </w:r>
    </w:p>
    <w:p w:rsidR="00D50BF5"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50BF5"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2-7-60.</w:t>
      </w:r>
      <w:r>
        <w:tab/>
      </w:r>
      <w:r>
        <w:tab/>
      </w:r>
      <w:r>
        <w:rPr>
          <w:rFonts w:eastAsiaTheme="minorHAnsi"/>
          <w:szCs w:val="22"/>
          <w:u w:val="single"/>
        </w:rPr>
        <w:t>Except as hereinafter provided,</w:t>
      </w:r>
      <w:r>
        <w:rPr>
          <w:rFonts w:eastAsiaTheme="minorHAnsi"/>
          <w:szCs w:val="22"/>
        </w:rPr>
        <w:t xml:space="preserve"> </w:t>
      </w:r>
      <w:r>
        <w:rPr>
          <w:rFonts w:eastAsiaTheme="minorHAnsi"/>
          <w:strike/>
          <w:szCs w:val="22"/>
        </w:rPr>
        <w:t>The</w:t>
      </w:r>
      <w:r>
        <w:rPr>
          <w:rFonts w:eastAsiaTheme="minorHAnsi"/>
          <w:szCs w:val="22"/>
        </w:rPr>
        <w:t xml:space="preserve"> </w:t>
      </w:r>
      <w:r>
        <w:rPr>
          <w:rFonts w:eastAsiaTheme="minorHAnsi"/>
          <w:szCs w:val="22"/>
          <w:u w:val="single"/>
        </w:rPr>
        <w:t>the</w:t>
      </w:r>
      <w:r>
        <w:rPr>
          <w:rFonts w:eastAsiaTheme="minorHAnsi"/>
          <w:szCs w:val="22"/>
        </w:rPr>
        <w:t xml:space="preserve"> General Assembly shall annually provide for all expenditures in the general </w:t>
      </w:r>
      <w:r>
        <w:rPr>
          <w:rFonts w:eastAsiaTheme="minorHAnsi"/>
          <w:strike/>
          <w:szCs w:val="22"/>
        </w:rPr>
        <w:t>appropriation</w:t>
      </w:r>
      <w:r>
        <w:rPr>
          <w:rFonts w:eastAsiaTheme="minorHAnsi"/>
          <w:szCs w:val="22"/>
        </w:rPr>
        <w:t xml:space="preserve"> </w:t>
      </w:r>
      <w:r>
        <w:rPr>
          <w:rFonts w:eastAsiaTheme="minorHAnsi"/>
          <w:szCs w:val="22"/>
          <w:u w:val="single"/>
        </w:rPr>
        <w:t>appropriations</w:t>
      </w:r>
      <w:r>
        <w:rPr>
          <w:rFonts w:eastAsiaTheme="minorHAnsi"/>
          <w:szCs w:val="22"/>
        </w:rPr>
        <w:t xml:space="preserve"> act</w:t>
      </w:r>
      <w:r>
        <w:rPr>
          <w:rFonts w:eastAsiaTheme="minorHAnsi"/>
          <w:szCs w:val="22"/>
          <w:u w:val="single"/>
        </w:rPr>
        <w:t>,</w:t>
      </w:r>
      <w:r>
        <w:rPr>
          <w:rFonts w:eastAsiaTheme="minorHAnsi"/>
          <w:szCs w:val="22"/>
        </w:rPr>
        <w:t xml:space="preserve"> and the appropriations made for any department, institution, board or commission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in a definite sum for each purpose or activity with </w:t>
      </w:r>
      <w:r>
        <w:rPr>
          <w:rFonts w:eastAsiaTheme="minorHAnsi"/>
          <w:strike/>
          <w:szCs w:val="22"/>
        </w:rPr>
        <w:t>such</w:t>
      </w:r>
      <w:r>
        <w:rPr>
          <w:rFonts w:eastAsiaTheme="minorHAnsi"/>
          <w:szCs w:val="22"/>
        </w:rPr>
        <w:t xml:space="preserve"> </w:t>
      </w:r>
      <w:r>
        <w:rPr>
          <w:rFonts w:eastAsiaTheme="minorHAnsi"/>
          <w:szCs w:val="22"/>
          <w:u w:val="single"/>
        </w:rPr>
        <w:t>that</w:t>
      </w:r>
      <w:r>
        <w:rPr>
          <w:rFonts w:eastAsiaTheme="minorHAnsi"/>
          <w:szCs w:val="22"/>
        </w:rPr>
        <w:t xml:space="preserve"> itemization under the activity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necessary by the General Assembly. </w:t>
      </w:r>
    </w:p>
    <w:p w:rsidR="006D4DE4" w:rsidRDefault="00D50BF5" w:rsidP="00D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r>
      <w:r>
        <w:rPr>
          <w:rFonts w:eastAsiaTheme="minorHAnsi"/>
          <w:szCs w:val="22"/>
          <w:u w:val="single"/>
        </w:rPr>
        <w:t>Beginning with its 2012 session and in each session every two years thereafter, the General Assembly shall enact a biennial state general appropriations act in a form and under conditions as the General Assembly considers appropriate.  On July 1, 2012, and thereafter, the term ‘annual state general appropriations act’ or any similar variations of this term as contained in any provision of law must be construed to mean the biennial state general appropriations act.</w:t>
      </w:r>
      <w:r>
        <w:rPr>
          <w:rFonts w:eastAsiaTheme="minorHAnsi"/>
          <w:szCs w:val="22"/>
        </w:rPr>
        <w:t>”</w:t>
      </w:r>
    </w:p>
    <w:p w:rsidR="006D4DE4"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BF5">
        <w:t>2</w:t>
      </w:r>
      <w:r>
        <w:t>.</w:t>
      </w:r>
      <w:r>
        <w:tab/>
        <w:t>This act takes effect upon approval by the Governor.</w:t>
      </w:r>
    </w:p>
    <w:p w:rsidR="00687E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7ECE" w:rsidRDefault="00687ECE" w:rsidP="00AD0A7D">
      <w:pPr>
        <w:suppressAutoHyphens/>
      </w:pPr>
    </w:p>
    <w:sectPr w:rsidR="00687ECE" w:rsidSect="00AD0A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DE4" w:rsidRDefault="006D4DE4" w:rsidP="009F0C77">
      <w:r>
        <w:separator/>
      </w:r>
    </w:p>
  </w:endnote>
  <w:endnote w:type="continuationSeparator" w:id="0">
    <w:p w:rsidR="006D4DE4" w:rsidRDefault="006D4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E5DD2E-F45A-4180-A056-535255FCD0DE}"/>
    <w:embedBold r:id="rId2" w:fontKey="{79C2EBB8-8D7C-43CF-986C-CCC87E08057A}"/>
  </w:font>
  <w:font w:name="Calibri">
    <w:panose1 w:val="020F0502020204030204"/>
    <w:charset w:val="00"/>
    <w:family w:val="swiss"/>
    <w:pitch w:val="variable"/>
    <w:sig w:usb0="E10002FF" w:usb1="4000ACFF" w:usb2="00000009" w:usb3="00000000" w:csb0="0000019F" w:csb1="00000000"/>
    <w:embedRegular r:id="rId3" w:fontKey="{2A1732E7-60E9-464B-B528-43B9ED4FF572}"/>
  </w:font>
  <w:font w:name="Cambria">
    <w:panose1 w:val="02040503050406030204"/>
    <w:charset w:val="00"/>
    <w:family w:val="roman"/>
    <w:pitch w:val="variable"/>
    <w:sig w:usb0="E00002FF" w:usb1="400004FF" w:usb2="00000000" w:usb3="00000000" w:csb0="0000019F" w:csb1="00000000"/>
    <w:embedRegular r:id="rId4" w:fontKey="{85306C87-5E8D-4720-B0DC-DDDD6422DE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A7D" w:rsidRPr="00687ECE" w:rsidRDefault="00AD0A7D" w:rsidP="00687ECE">
    <w:pPr>
      <w:pStyle w:val="Footer"/>
      <w:tabs>
        <w:tab w:val="clear" w:pos="4680"/>
        <w:tab w:val="clear" w:pos="9360"/>
        <w:tab w:val="center" w:pos="2995"/>
      </w:tabs>
      <w:spacing w:before="120"/>
    </w:pPr>
    <w:r>
      <w:t>[3887]</w:t>
    </w:r>
    <w:r>
      <w:tab/>
    </w:r>
    <w:r w:rsidR="00E95FE1">
      <w:fldChar w:fldCharType="begin"/>
    </w:r>
    <w:r w:rsidR="00E95FE1">
      <w:instrText xml:space="preserve"> PAGE  \* MERGEFORMAT </w:instrText>
    </w:r>
    <w:r w:rsidR="00E95FE1">
      <w:fldChar w:fldCharType="separate"/>
    </w:r>
    <w:r w:rsidR="00E95FE1">
      <w:rPr>
        <w:noProof/>
      </w:rPr>
      <w:t>1</w:t>
    </w:r>
    <w:r w:rsidR="00E95F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DE4" w:rsidRDefault="006D4DE4" w:rsidP="009F0C77">
      <w:r>
        <w:separator/>
      </w:r>
    </w:p>
  </w:footnote>
  <w:footnote w:type="continuationSeparator" w:id="0">
    <w:p w:rsidR="006D4DE4" w:rsidRDefault="006D4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36SD11"/>
    <w:docVar w:name="CoverBillType" w:val="b"/>
    <w:docVar w:name="docpath" w:val="L:\Council\bills\DKA\3536SD11.DOCX"/>
    <w:docVar w:name="dvBillNumber" w:val="3887"/>
    <w:docVar w:name="dvBillNumberPrefix" w:val="H. "/>
    <w:docVar w:name="dvOriginalBody" w:val="House"/>
    <w:docVar w:name="dvSteno" w:val="DKA"/>
    <w:docVar w:name="NameofBody" w:val="h"/>
    <w:docVar w:name="vgroup2" w:val="Council"/>
  </w:docVars>
  <w:rsids>
    <w:rsidRoot w:val="00F60DAC"/>
    <w:rsid w:val="00011869"/>
    <w:rsid w:val="000D719B"/>
    <w:rsid w:val="000E1785"/>
    <w:rsid w:val="000F40FA"/>
    <w:rsid w:val="0010776B"/>
    <w:rsid w:val="00133E66"/>
    <w:rsid w:val="001435A3"/>
    <w:rsid w:val="001D08F2"/>
    <w:rsid w:val="001D525B"/>
    <w:rsid w:val="001D7F4F"/>
    <w:rsid w:val="001E67E5"/>
    <w:rsid w:val="002321B6"/>
    <w:rsid w:val="00250967"/>
    <w:rsid w:val="002513DE"/>
    <w:rsid w:val="002543C8"/>
    <w:rsid w:val="00276949"/>
    <w:rsid w:val="00284AAE"/>
    <w:rsid w:val="00297151"/>
    <w:rsid w:val="002B3601"/>
    <w:rsid w:val="002E5912"/>
    <w:rsid w:val="00325348"/>
    <w:rsid w:val="0032732C"/>
    <w:rsid w:val="00336AD0"/>
    <w:rsid w:val="0037079A"/>
    <w:rsid w:val="003D0139"/>
    <w:rsid w:val="003D01E8"/>
    <w:rsid w:val="003E5288"/>
    <w:rsid w:val="003F6D79"/>
    <w:rsid w:val="00412A23"/>
    <w:rsid w:val="0041760A"/>
    <w:rsid w:val="00417C01"/>
    <w:rsid w:val="00454004"/>
    <w:rsid w:val="004809EE"/>
    <w:rsid w:val="004D5142"/>
    <w:rsid w:val="004E7D54"/>
    <w:rsid w:val="0052574F"/>
    <w:rsid w:val="005273C6"/>
    <w:rsid w:val="00530A69"/>
    <w:rsid w:val="00545593"/>
    <w:rsid w:val="00577C6C"/>
    <w:rsid w:val="005C2FE2"/>
    <w:rsid w:val="005E2BC9"/>
    <w:rsid w:val="00605102"/>
    <w:rsid w:val="006163D2"/>
    <w:rsid w:val="006215AA"/>
    <w:rsid w:val="00647A8B"/>
    <w:rsid w:val="00687ECE"/>
    <w:rsid w:val="006913C9"/>
    <w:rsid w:val="0069470D"/>
    <w:rsid w:val="006D4DE4"/>
    <w:rsid w:val="00734F00"/>
    <w:rsid w:val="007A70AE"/>
    <w:rsid w:val="008362E8"/>
    <w:rsid w:val="008A1768"/>
    <w:rsid w:val="008F4429"/>
    <w:rsid w:val="0094021A"/>
    <w:rsid w:val="00947B30"/>
    <w:rsid w:val="009C6A0B"/>
    <w:rsid w:val="009F0C77"/>
    <w:rsid w:val="009F4DD1"/>
    <w:rsid w:val="00A41684"/>
    <w:rsid w:val="00A64E80"/>
    <w:rsid w:val="00A70649"/>
    <w:rsid w:val="00A72BCD"/>
    <w:rsid w:val="00A741D9"/>
    <w:rsid w:val="00A833AB"/>
    <w:rsid w:val="00A92690"/>
    <w:rsid w:val="00A93401"/>
    <w:rsid w:val="00A9741D"/>
    <w:rsid w:val="00AD0A7D"/>
    <w:rsid w:val="00AD4B17"/>
    <w:rsid w:val="00B2447F"/>
    <w:rsid w:val="00B412D4"/>
    <w:rsid w:val="00B63AAF"/>
    <w:rsid w:val="00BE3C22"/>
    <w:rsid w:val="00C0345E"/>
    <w:rsid w:val="00C128C6"/>
    <w:rsid w:val="00C3483A"/>
    <w:rsid w:val="00C74E9D"/>
    <w:rsid w:val="00C82FD3"/>
    <w:rsid w:val="00C92819"/>
    <w:rsid w:val="00CB7B73"/>
    <w:rsid w:val="00CC6B7B"/>
    <w:rsid w:val="00CD2089"/>
    <w:rsid w:val="00D50BF5"/>
    <w:rsid w:val="00D73A67"/>
    <w:rsid w:val="00D81A3D"/>
    <w:rsid w:val="00D970A9"/>
    <w:rsid w:val="00DF3845"/>
    <w:rsid w:val="00E3094E"/>
    <w:rsid w:val="00E41911"/>
    <w:rsid w:val="00E92EEF"/>
    <w:rsid w:val="00E95FE1"/>
    <w:rsid w:val="00F24442"/>
    <w:rsid w:val="00F50AE3"/>
    <w:rsid w:val="00F60DA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B700A1-001C-4CA2-99CE-0C87236E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D0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7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F342-A74D-4BA3-AE53-C5530538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297</Words>
  <Characters>1635</Characters>
  <Application>Microsoft Office Word</Application>
  <DocSecurity>4</DocSecurity>
  <Lines>70</Lines>
  <Paragraphs>24</Paragraphs>
  <ScaleCrop>false</ScaleCrop>
  <Company> </Company>
  <LinksUpToDate>false</LinksUpToDate>
  <CharactersWithSpaces>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3887: Biennial State Appropriation Act - South Carolina Legislature Online</dc:title>
  <dc:subject/>
  <dc:creator>SharonPair</dc:creator>
  <cp:keywords/>
  <dc:description/>
  <cp:lastModifiedBy>N Cumfer</cp:lastModifiedBy>
  <cp:revision>2</cp:revision>
  <cp:lastPrinted>2011-03-03T20:46:00Z</cp:lastPrinted>
  <dcterms:created xsi:type="dcterms:W3CDTF">2014-11-21T21:52:00Z</dcterms:created>
  <dcterms:modified xsi:type="dcterms:W3CDTF">2014-11-21T21:52:00Z</dcterms:modified>
</cp:coreProperties>
</file>