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53E" w:rsidRDefault="0036153E" w:rsidP="0036153E">
      <w:pPr>
        <w:widowControl w:val="0"/>
        <w:jc w:val="center"/>
      </w:pPr>
      <w:bookmarkStart w:id="0" w:name="_GoBack"/>
      <w:bookmarkEnd w:id="0"/>
      <w:r w:rsidRPr="0036153E">
        <w:rPr>
          <w:b/>
        </w:rPr>
        <w:t>South Carolina General Assembly</w:t>
      </w:r>
    </w:p>
    <w:p w:rsidR="0036153E" w:rsidRDefault="0036153E" w:rsidP="0036153E">
      <w:pPr>
        <w:widowControl w:val="0"/>
        <w:jc w:val="center"/>
      </w:pPr>
      <w:r>
        <w:t>119th Session, 2011-2012</w:t>
      </w:r>
    </w:p>
    <w:p w:rsidR="0036153E" w:rsidRDefault="0036153E" w:rsidP="0036153E">
      <w:pPr>
        <w:widowControl w:val="0"/>
      </w:pPr>
    </w:p>
    <w:p w:rsidR="0036153E" w:rsidRDefault="0036153E" w:rsidP="0036153E">
      <w:pPr>
        <w:widowControl w:val="0"/>
        <w:rPr>
          <w:b/>
        </w:rPr>
      </w:pPr>
      <w:r w:rsidRPr="0036153E">
        <w:rPr>
          <w:b/>
        </w:rPr>
        <w:t>S.</w:t>
      </w:r>
      <w:r>
        <w:rPr>
          <w:b/>
        </w:rPr>
        <w:t xml:space="preserve"> </w:t>
      </w:r>
      <w:r w:rsidRPr="0036153E">
        <w:rPr>
          <w:b/>
        </w:rPr>
        <w:t>461</w:t>
      </w:r>
    </w:p>
    <w:p w:rsidR="0036153E" w:rsidRDefault="0036153E" w:rsidP="0036153E">
      <w:pPr>
        <w:widowControl w:val="0"/>
        <w:rPr>
          <w:b/>
        </w:rPr>
      </w:pPr>
    </w:p>
    <w:p w:rsidR="0036153E" w:rsidRDefault="0036153E" w:rsidP="0036153E">
      <w:pPr>
        <w:widowControl w:val="0"/>
      </w:pPr>
      <w:r w:rsidRPr="0036153E">
        <w:rPr>
          <w:b/>
        </w:rPr>
        <w:t>STATUS INFORMATION</w:t>
      </w:r>
    </w:p>
    <w:p w:rsidR="0036153E" w:rsidRDefault="0036153E" w:rsidP="0036153E">
      <w:pPr>
        <w:widowControl w:val="0"/>
      </w:pPr>
    </w:p>
    <w:p w:rsidR="0036153E" w:rsidRDefault="0036153E" w:rsidP="0036153E">
      <w:pPr>
        <w:widowControl w:val="0"/>
      </w:pPr>
      <w:r>
        <w:t>General Bill</w:t>
      </w:r>
    </w:p>
    <w:p w:rsidR="0036153E" w:rsidRDefault="005256EB" w:rsidP="0036153E">
      <w:pPr>
        <w:widowControl w:val="0"/>
      </w:pPr>
      <w:r>
        <w:t>Sponsors: Senators Cleary, Sheheen, Lourie, Ford, Reese and Scott</w:t>
      </w:r>
    </w:p>
    <w:p w:rsidR="0036153E" w:rsidRDefault="0036153E" w:rsidP="0036153E">
      <w:pPr>
        <w:widowControl w:val="0"/>
      </w:pPr>
      <w:r>
        <w:t>Document Path: l:\s-jud\bills\cleary\jud0076.kw.docx</w:t>
      </w:r>
    </w:p>
    <w:p w:rsidR="003A1E38" w:rsidRDefault="003A1E38" w:rsidP="0036153E">
      <w:pPr>
        <w:widowControl w:val="0"/>
      </w:pPr>
      <w:r>
        <w:t>Companion/Similar bill(s): 3624</w:t>
      </w:r>
    </w:p>
    <w:p w:rsidR="0036153E" w:rsidRDefault="0036153E" w:rsidP="0036153E">
      <w:pPr>
        <w:widowControl w:val="0"/>
      </w:pPr>
    </w:p>
    <w:p w:rsidR="002D0B36" w:rsidRDefault="002D0B36" w:rsidP="0036153E">
      <w:pPr>
        <w:widowControl w:val="0"/>
      </w:pPr>
      <w:r>
        <w:t>Introduced in the Senate on January 27, 2011</w:t>
      </w:r>
    </w:p>
    <w:p w:rsidR="002D0B36" w:rsidRDefault="002D0B36" w:rsidP="0036153E">
      <w:pPr>
        <w:widowControl w:val="0"/>
      </w:pPr>
      <w:r>
        <w:t>Introduced in the House on June 2, 2011</w:t>
      </w:r>
    </w:p>
    <w:p w:rsidR="002D0B36" w:rsidRDefault="002D0B36" w:rsidP="0036153E">
      <w:pPr>
        <w:widowControl w:val="0"/>
      </w:pPr>
      <w:r>
        <w:t>Last Amended on May 24, 2011</w:t>
      </w:r>
    </w:p>
    <w:p w:rsidR="002D0B36" w:rsidRPr="002D0B36" w:rsidRDefault="002D0B36" w:rsidP="0036153E">
      <w:pPr>
        <w:widowControl w:val="0"/>
      </w:pPr>
      <w:r>
        <w:t xml:space="preserve">Currently residing in the House Committee on </w:t>
      </w:r>
      <w:r w:rsidRPr="002D0B36">
        <w:rPr>
          <w:b/>
        </w:rPr>
        <w:t>Agriculture, Natural Resources and Environmental Affairs</w:t>
      </w:r>
    </w:p>
    <w:p w:rsidR="002D0B36" w:rsidRDefault="002D0B36" w:rsidP="0036153E">
      <w:pPr>
        <w:widowControl w:val="0"/>
      </w:pPr>
    </w:p>
    <w:p w:rsidR="0036153E" w:rsidRDefault="0036153E" w:rsidP="0036153E">
      <w:pPr>
        <w:widowControl w:val="0"/>
      </w:pPr>
      <w:r>
        <w:t xml:space="preserve">Summary: </w:t>
      </w:r>
      <w:r w:rsidR="00513320">
        <w:t>Alcohol permit for consumption on premises</w:t>
      </w:r>
    </w:p>
    <w:p w:rsidR="0036153E" w:rsidRDefault="0036153E" w:rsidP="0036153E">
      <w:pPr>
        <w:widowControl w:val="0"/>
      </w:pPr>
    </w:p>
    <w:p w:rsidR="0036153E" w:rsidRDefault="0036153E" w:rsidP="0036153E">
      <w:pPr>
        <w:widowControl w:val="0"/>
      </w:pPr>
    </w:p>
    <w:p w:rsidR="0036153E" w:rsidRDefault="0036153E" w:rsidP="0036153E">
      <w:pPr>
        <w:widowControl w:val="0"/>
        <w:tabs>
          <w:tab w:val="center" w:pos="590"/>
          <w:tab w:val="center" w:pos="1440"/>
          <w:tab w:val="left" w:pos="1872"/>
          <w:tab w:val="left" w:pos="9187"/>
        </w:tabs>
      </w:pPr>
      <w:r w:rsidRPr="0036153E">
        <w:rPr>
          <w:b/>
        </w:rPr>
        <w:t>HISTORY OF LEGISLATIVE ACTIONS</w:t>
      </w:r>
    </w:p>
    <w:p w:rsidR="0036153E" w:rsidRDefault="0036153E" w:rsidP="0036153E">
      <w:pPr>
        <w:widowControl w:val="0"/>
        <w:tabs>
          <w:tab w:val="center" w:pos="590"/>
          <w:tab w:val="center" w:pos="1440"/>
          <w:tab w:val="left" w:pos="1872"/>
          <w:tab w:val="left" w:pos="9187"/>
        </w:tabs>
      </w:pPr>
    </w:p>
    <w:p w:rsidR="0036153E" w:rsidRPr="0036153E" w:rsidRDefault="0036153E" w:rsidP="0036153E">
      <w:pPr>
        <w:widowControl w:val="0"/>
        <w:tabs>
          <w:tab w:val="center" w:pos="590"/>
          <w:tab w:val="center" w:pos="1440"/>
          <w:tab w:val="left" w:pos="1872"/>
          <w:tab w:val="left" w:pos="9187"/>
        </w:tabs>
      </w:pPr>
      <w:r w:rsidRPr="0036153E">
        <w:rPr>
          <w:u w:val="single"/>
        </w:rPr>
        <w:tab/>
        <w:t>Date</w:t>
      </w:r>
      <w:r w:rsidRPr="0036153E">
        <w:rPr>
          <w:u w:val="single"/>
        </w:rPr>
        <w:tab/>
        <w:t>Body</w:t>
      </w:r>
      <w:r w:rsidRPr="0036153E">
        <w:rPr>
          <w:u w:val="single"/>
        </w:rPr>
        <w:tab/>
        <w:t>Action Description with journal page number</w:t>
      </w:r>
      <w:r w:rsidRPr="0036153E">
        <w:rPr>
          <w:u w:val="single"/>
        </w:rPr>
        <w:tab/>
      </w:r>
    </w:p>
    <w:p w:rsidR="00472468" w:rsidRDefault="00472468" w:rsidP="00472468">
      <w:pPr>
        <w:widowControl w:val="0"/>
        <w:tabs>
          <w:tab w:val="right" w:pos="1008"/>
          <w:tab w:val="left" w:pos="1152"/>
          <w:tab w:val="left" w:pos="1872"/>
          <w:tab w:val="left" w:pos="9187"/>
        </w:tabs>
        <w:ind w:left="2088" w:hanging="2088"/>
      </w:pPr>
      <w:r>
        <w:tab/>
        <w:t>1/27/2011</w:t>
      </w:r>
      <w:r>
        <w:tab/>
        <w:t>Senate</w:t>
      </w:r>
      <w:r>
        <w:tab/>
      </w:r>
      <w:r w:rsidRPr="00AE5219">
        <w:t>Introduced and read first time (</w:t>
      </w:r>
      <w:hyperlink r:id="rId6" w:history="1">
        <w:r w:rsidRPr="00AE5219">
          <w:rPr>
            <w:rStyle w:val="Hyperlink"/>
          </w:rPr>
          <w:t>Senate Journal</w:t>
        </w:r>
        <w:r w:rsidRPr="00AE5219">
          <w:rPr>
            <w:rStyle w:val="Hyperlink"/>
          </w:rPr>
          <w:noBreakHyphen/>
          <w:t>page 8</w:t>
        </w:r>
      </w:hyperlink>
      <w:r w:rsidRPr="00AE5219">
        <w:t>)</w:t>
      </w:r>
    </w:p>
    <w:p w:rsidR="00472468" w:rsidRDefault="00472468" w:rsidP="00472468">
      <w:pPr>
        <w:widowControl w:val="0"/>
        <w:tabs>
          <w:tab w:val="right" w:pos="1008"/>
          <w:tab w:val="left" w:pos="1152"/>
          <w:tab w:val="left" w:pos="1872"/>
          <w:tab w:val="left" w:pos="9187"/>
        </w:tabs>
        <w:ind w:left="2088" w:hanging="2088"/>
      </w:pPr>
      <w:r>
        <w:tab/>
        <w:t>1/27/2011</w:t>
      </w:r>
      <w:r>
        <w:tab/>
        <w:t>Senate</w:t>
      </w:r>
      <w:r>
        <w:tab/>
      </w:r>
      <w:r w:rsidRPr="00AE5219">
        <w:t>Ref</w:t>
      </w:r>
      <w:r>
        <w:t xml:space="preserve">erred to Committee on </w:t>
      </w:r>
      <w:r w:rsidRPr="00AE5219">
        <w:rPr>
          <w:b/>
        </w:rPr>
        <w:t>Judiciary</w:t>
      </w:r>
      <w:r>
        <w:t xml:space="preserve"> </w:t>
      </w:r>
      <w:r w:rsidRPr="00AE5219">
        <w:t>(</w:t>
      </w:r>
      <w:hyperlink r:id="rId7" w:history="1">
        <w:r w:rsidRPr="00AE5219">
          <w:rPr>
            <w:rStyle w:val="Hyperlink"/>
          </w:rPr>
          <w:t>Senate Journal</w:t>
        </w:r>
        <w:r w:rsidRPr="00AE5219">
          <w:rPr>
            <w:rStyle w:val="Hyperlink"/>
          </w:rPr>
          <w:noBreakHyphen/>
          <w:t>page 8</w:t>
        </w:r>
      </w:hyperlink>
      <w:r w:rsidRPr="00AE5219">
        <w:t>)</w:t>
      </w:r>
    </w:p>
    <w:p w:rsidR="00472468" w:rsidRDefault="00472468" w:rsidP="00472468">
      <w:pPr>
        <w:widowControl w:val="0"/>
        <w:tabs>
          <w:tab w:val="right" w:pos="1008"/>
          <w:tab w:val="left" w:pos="1152"/>
          <w:tab w:val="left" w:pos="1872"/>
          <w:tab w:val="left" w:pos="9187"/>
        </w:tabs>
        <w:ind w:left="2088" w:hanging="2088"/>
      </w:pPr>
      <w:r>
        <w:tab/>
        <w:t>2/4/2011</w:t>
      </w:r>
      <w:r>
        <w:tab/>
        <w:t>Senate</w:t>
      </w:r>
      <w:r>
        <w:tab/>
      </w:r>
      <w:r w:rsidRPr="00AE5219">
        <w:t>Referred to Subco</w:t>
      </w:r>
      <w:r>
        <w:t xml:space="preserve">mmittee: Campbell (ch), Cleary, </w:t>
      </w:r>
      <w:r w:rsidRPr="00AE5219">
        <w:t>Williams, Nicholson</w:t>
      </w:r>
    </w:p>
    <w:p w:rsidR="00472468" w:rsidRDefault="00472468" w:rsidP="00472468">
      <w:pPr>
        <w:widowControl w:val="0"/>
        <w:tabs>
          <w:tab w:val="right" w:pos="1008"/>
          <w:tab w:val="left" w:pos="1152"/>
          <w:tab w:val="left" w:pos="1872"/>
          <w:tab w:val="left" w:pos="9187"/>
        </w:tabs>
        <w:ind w:left="2088" w:hanging="2088"/>
      </w:pPr>
      <w:r>
        <w:tab/>
        <w:t>3/23/2011</w:t>
      </w:r>
      <w:r>
        <w:tab/>
        <w:t>Senate</w:t>
      </w:r>
      <w:r>
        <w:tab/>
      </w:r>
      <w:r w:rsidRPr="00AE5219">
        <w:t xml:space="preserve">Committee </w:t>
      </w:r>
      <w:r w:rsidRPr="00AE5219">
        <w:lastRenderedPageBreak/>
        <w:t>r</w:t>
      </w:r>
      <w:r>
        <w:t xml:space="preserve">eport: Favorable with amendment </w:t>
      </w:r>
      <w:r w:rsidRPr="00AE5219">
        <w:rPr>
          <w:b/>
        </w:rPr>
        <w:t>Judiciary</w:t>
      </w:r>
      <w:r w:rsidRPr="00AE5219">
        <w:t xml:space="preserve"> (</w:t>
      </w:r>
      <w:hyperlink r:id="rId8" w:history="1">
        <w:r w:rsidRPr="00AE5219">
          <w:rPr>
            <w:rStyle w:val="Hyperlink"/>
          </w:rPr>
          <w:t>Senate Journal</w:t>
        </w:r>
        <w:r w:rsidRPr="00AE5219">
          <w:rPr>
            <w:rStyle w:val="Hyperlink"/>
          </w:rPr>
          <w:noBreakHyphen/>
          <w:t>page 5</w:t>
        </w:r>
      </w:hyperlink>
      <w:r w:rsidRPr="00AE5219">
        <w:t>)</w:t>
      </w:r>
    </w:p>
    <w:p w:rsidR="00472468" w:rsidRDefault="00472468" w:rsidP="00472468">
      <w:pPr>
        <w:widowControl w:val="0"/>
        <w:tabs>
          <w:tab w:val="right" w:pos="1008"/>
          <w:tab w:val="left" w:pos="1152"/>
          <w:tab w:val="left" w:pos="1872"/>
          <w:tab w:val="left" w:pos="9187"/>
        </w:tabs>
        <w:ind w:left="2088" w:hanging="2088"/>
      </w:pPr>
      <w:r>
        <w:tab/>
        <w:t>3/24/2011</w:t>
      </w:r>
      <w:r>
        <w:tab/>
      </w:r>
      <w:r>
        <w:tab/>
      </w:r>
      <w:r w:rsidRPr="00AE5219">
        <w:t>Scrivener's error corrected</w:t>
      </w:r>
    </w:p>
    <w:p w:rsidR="00472468" w:rsidRDefault="00472468" w:rsidP="00472468">
      <w:pPr>
        <w:widowControl w:val="0"/>
        <w:tabs>
          <w:tab w:val="right" w:pos="1008"/>
          <w:tab w:val="left" w:pos="1152"/>
          <w:tab w:val="left" w:pos="1872"/>
          <w:tab w:val="left" w:pos="9187"/>
        </w:tabs>
        <w:ind w:left="2088" w:hanging="2088"/>
      </w:pPr>
      <w:r>
        <w:tab/>
        <w:t>5/24/2011</w:t>
      </w:r>
      <w:r>
        <w:tab/>
        <w:t>Senate</w:t>
      </w:r>
      <w:r>
        <w:tab/>
      </w:r>
      <w:r w:rsidRPr="00AE5219">
        <w:t>Committee Amendment Amended and Adopt</w:t>
      </w:r>
      <w:r>
        <w:t xml:space="preserve">ed </w:t>
      </w:r>
      <w:r w:rsidRPr="00AE5219">
        <w:t>(</w:t>
      </w:r>
      <w:hyperlink r:id="rId9" w:history="1">
        <w:r w:rsidRPr="00AE5219">
          <w:rPr>
            <w:rStyle w:val="Hyperlink"/>
          </w:rPr>
          <w:t>Senate Journal</w:t>
        </w:r>
        <w:r w:rsidRPr="00AE5219">
          <w:rPr>
            <w:rStyle w:val="Hyperlink"/>
          </w:rPr>
          <w:noBreakHyphen/>
          <w:t>page 30</w:t>
        </w:r>
      </w:hyperlink>
      <w:r w:rsidRPr="00AE5219">
        <w:t>)</w:t>
      </w:r>
    </w:p>
    <w:p w:rsidR="00472468" w:rsidRDefault="00472468" w:rsidP="00472468">
      <w:pPr>
        <w:widowControl w:val="0"/>
        <w:tabs>
          <w:tab w:val="right" w:pos="1008"/>
          <w:tab w:val="left" w:pos="1152"/>
          <w:tab w:val="left" w:pos="1872"/>
          <w:tab w:val="left" w:pos="9187"/>
        </w:tabs>
        <w:ind w:left="2088" w:hanging="2088"/>
      </w:pPr>
      <w:r>
        <w:tab/>
        <w:t>5/24/2011</w:t>
      </w:r>
      <w:r>
        <w:tab/>
        <w:t>Senate</w:t>
      </w:r>
      <w:r>
        <w:tab/>
      </w:r>
      <w:r w:rsidRPr="00AE5219">
        <w:t>Read second time (</w:t>
      </w:r>
      <w:hyperlink r:id="rId10" w:history="1">
        <w:r w:rsidRPr="00AE5219">
          <w:rPr>
            <w:rStyle w:val="Hyperlink"/>
          </w:rPr>
          <w:t>Senate Journal</w:t>
        </w:r>
        <w:r w:rsidRPr="00AE5219">
          <w:rPr>
            <w:rStyle w:val="Hyperlink"/>
          </w:rPr>
          <w:noBreakHyphen/>
          <w:t>page 30</w:t>
        </w:r>
      </w:hyperlink>
      <w:r w:rsidRPr="00AE5219">
        <w:t>)</w:t>
      </w:r>
    </w:p>
    <w:p w:rsidR="00472468" w:rsidRDefault="00472468" w:rsidP="00472468">
      <w:pPr>
        <w:widowControl w:val="0"/>
        <w:tabs>
          <w:tab w:val="right" w:pos="1008"/>
          <w:tab w:val="left" w:pos="1152"/>
          <w:tab w:val="left" w:pos="1872"/>
          <w:tab w:val="left" w:pos="9187"/>
        </w:tabs>
        <w:ind w:left="2088" w:hanging="2088"/>
      </w:pPr>
      <w:r>
        <w:tab/>
        <w:t>5/24/2011</w:t>
      </w:r>
      <w:r>
        <w:tab/>
        <w:t>Senate</w:t>
      </w:r>
      <w:r>
        <w:tab/>
      </w:r>
      <w:r w:rsidRPr="00AE5219">
        <w:t>Roll call Ayes</w:t>
      </w:r>
      <w:r>
        <w:noBreakHyphen/>
      </w:r>
      <w:r w:rsidRPr="00AE5219">
        <w:t>31  Nays</w:t>
      </w:r>
      <w:r>
        <w:noBreakHyphen/>
      </w:r>
      <w:r w:rsidRPr="00AE5219">
        <w:t>9 (</w:t>
      </w:r>
      <w:hyperlink r:id="rId11" w:history="1">
        <w:r w:rsidRPr="00AE5219">
          <w:rPr>
            <w:rStyle w:val="Hyperlink"/>
          </w:rPr>
          <w:t>Senate Journal</w:t>
        </w:r>
        <w:r w:rsidRPr="00AE5219">
          <w:rPr>
            <w:rStyle w:val="Hyperlink"/>
          </w:rPr>
          <w:noBreakHyphen/>
          <w:t>page 30</w:t>
        </w:r>
      </w:hyperlink>
      <w:r w:rsidRPr="00AE5219">
        <w:t>)</w:t>
      </w:r>
    </w:p>
    <w:p w:rsidR="00472468" w:rsidRDefault="00472468" w:rsidP="00472468">
      <w:pPr>
        <w:widowControl w:val="0"/>
        <w:tabs>
          <w:tab w:val="right" w:pos="1008"/>
          <w:tab w:val="left" w:pos="1152"/>
          <w:tab w:val="left" w:pos="1872"/>
          <w:tab w:val="left" w:pos="9187"/>
        </w:tabs>
        <w:ind w:left="2088" w:hanging="2088"/>
      </w:pPr>
      <w:r>
        <w:tab/>
        <w:t>5/25/2011</w:t>
      </w:r>
      <w:r>
        <w:tab/>
      </w:r>
      <w:r>
        <w:tab/>
      </w:r>
      <w:r w:rsidRPr="00AE5219">
        <w:t>Scrivener's error corrected</w:t>
      </w:r>
    </w:p>
    <w:p w:rsidR="00472468" w:rsidRDefault="00472468" w:rsidP="00472468">
      <w:pPr>
        <w:widowControl w:val="0"/>
        <w:tabs>
          <w:tab w:val="right" w:pos="1008"/>
          <w:tab w:val="left" w:pos="1152"/>
          <w:tab w:val="left" w:pos="1872"/>
          <w:tab w:val="left" w:pos="9187"/>
        </w:tabs>
        <w:ind w:left="2088" w:hanging="2088"/>
      </w:pPr>
      <w:r>
        <w:tab/>
        <w:t>6/2/2011</w:t>
      </w:r>
      <w:r>
        <w:tab/>
        <w:t>Senate</w:t>
      </w:r>
      <w:r>
        <w:tab/>
      </w:r>
      <w:r w:rsidRPr="00AE5219">
        <w:t>Re</w:t>
      </w:r>
      <w:r>
        <w:t xml:space="preserve">ad third time and sent to House </w:t>
      </w:r>
      <w:r w:rsidRPr="00AE5219">
        <w:t>(</w:t>
      </w:r>
      <w:hyperlink r:id="rId12" w:history="1">
        <w:r w:rsidRPr="00AE5219">
          <w:rPr>
            <w:rStyle w:val="Hyperlink"/>
          </w:rPr>
          <w:t>Senate Journal</w:t>
        </w:r>
        <w:r w:rsidRPr="00AE5219">
          <w:rPr>
            <w:rStyle w:val="Hyperlink"/>
          </w:rPr>
          <w:noBreakHyphen/>
          <w:t>page 18</w:t>
        </w:r>
      </w:hyperlink>
      <w:r w:rsidRPr="00AE5219">
        <w:t>)</w:t>
      </w:r>
    </w:p>
    <w:p w:rsidR="00472468" w:rsidRDefault="00472468" w:rsidP="00472468">
      <w:pPr>
        <w:widowControl w:val="0"/>
        <w:tabs>
          <w:tab w:val="right" w:pos="1008"/>
          <w:tab w:val="left" w:pos="1152"/>
          <w:tab w:val="left" w:pos="1872"/>
          <w:tab w:val="left" w:pos="9187"/>
        </w:tabs>
        <w:ind w:left="2088" w:hanging="2088"/>
      </w:pPr>
      <w:r>
        <w:tab/>
        <w:t>6/2/2011</w:t>
      </w:r>
      <w:r>
        <w:tab/>
        <w:t>House</w:t>
      </w:r>
      <w:r>
        <w:tab/>
      </w:r>
      <w:r w:rsidRPr="00AE5219">
        <w:t>Introduced and read first time (</w:t>
      </w:r>
      <w:hyperlink r:id="rId13" w:history="1">
        <w:r w:rsidRPr="00AE5219">
          <w:rPr>
            <w:rStyle w:val="Hyperlink"/>
          </w:rPr>
          <w:t>House Journal</w:t>
        </w:r>
        <w:r w:rsidRPr="00AE5219">
          <w:rPr>
            <w:rStyle w:val="Hyperlink"/>
          </w:rPr>
          <w:noBreakHyphen/>
          <w:t>page 69</w:t>
        </w:r>
      </w:hyperlink>
      <w:r w:rsidRPr="00AE5219">
        <w:t>)</w:t>
      </w:r>
    </w:p>
    <w:p w:rsidR="00472468" w:rsidRDefault="00472468" w:rsidP="00472468">
      <w:pPr>
        <w:widowControl w:val="0"/>
        <w:tabs>
          <w:tab w:val="right" w:pos="1008"/>
          <w:tab w:val="left" w:pos="1152"/>
          <w:tab w:val="left" w:pos="1872"/>
          <w:tab w:val="left" w:pos="9187"/>
        </w:tabs>
        <w:ind w:left="2088" w:hanging="2088"/>
      </w:pPr>
      <w:r>
        <w:tab/>
        <w:t>6/2/2011</w:t>
      </w:r>
      <w:r>
        <w:tab/>
        <w:t>House</w:t>
      </w:r>
      <w:r>
        <w:tab/>
      </w:r>
      <w:r w:rsidRPr="00AE5219">
        <w:t>Referred to Co</w:t>
      </w:r>
      <w:r>
        <w:t xml:space="preserve">mmittee on </w:t>
      </w:r>
      <w:r w:rsidRPr="00AE5219">
        <w:rPr>
          <w:b/>
        </w:rPr>
        <w:t>Agriculture, Natural Resources and Environmental Affairs</w:t>
      </w:r>
      <w:r>
        <w:t xml:space="preserve"> </w:t>
      </w:r>
      <w:r w:rsidRPr="00AE5219">
        <w:t>(</w:t>
      </w:r>
      <w:hyperlink r:id="rId14" w:history="1">
        <w:r w:rsidRPr="00AE5219">
          <w:rPr>
            <w:rStyle w:val="Hyperlink"/>
          </w:rPr>
          <w:t>House Journal</w:t>
        </w:r>
        <w:r w:rsidRPr="00AE5219">
          <w:rPr>
            <w:rStyle w:val="Hyperlink"/>
          </w:rPr>
          <w:noBreakHyphen/>
          <w:t>page 69</w:t>
        </w:r>
      </w:hyperlink>
      <w:r w:rsidRPr="00AE5219">
        <w:t>)</w:t>
      </w:r>
    </w:p>
    <w:p w:rsidR="00472468" w:rsidRDefault="00472468" w:rsidP="00472468">
      <w:pPr>
        <w:widowControl w:val="0"/>
        <w:tabs>
          <w:tab w:val="right" w:pos="1008"/>
          <w:tab w:val="left" w:pos="1152"/>
          <w:tab w:val="left" w:pos="1872"/>
          <w:tab w:val="left" w:pos="9187"/>
        </w:tabs>
        <w:ind w:left="2088" w:hanging="2088"/>
      </w:pPr>
    </w:p>
    <w:p w:rsidR="0036153E" w:rsidRPr="0036153E" w:rsidRDefault="0036153E" w:rsidP="0036153E">
      <w:pPr>
        <w:widowControl w:val="0"/>
        <w:tabs>
          <w:tab w:val="right" w:pos="1008"/>
          <w:tab w:val="left" w:pos="1152"/>
          <w:tab w:val="left" w:pos="1872"/>
          <w:tab w:val="left" w:pos="9187"/>
        </w:tabs>
        <w:ind w:left="2088" w:hanging="2088"/>
      </w:pPr>
    </w:p>
    <w:p w:rsidR="0036153E" w:rsidRDefault="0036153E" w:rsidP="0036153E">
      <w:pPr>
        <w:widowControl w:val="0"/>
      </w:pPr>
      <w:r w:rsidRPr="0036153E">
        <w:rPr>
          <w:b/>
        </w:rPr>
        <w:t>VERSIONS OF THIS BILL</w:t>
      </w:r>
    </w:p>
    <w:p w:rsidR="0036153E" w:rsidRDefault="0036153E" w:rsidP="0036153E">
      <w:pPr>
        <w:widowControl w:val="0"/>
      </w:pPr>
    </w:p>
    <w:p w:rsidR="0036153E" w:rsidRDefault="00567E38" w:rsidP="0036153E">
      <w:pPr>
        <w:widowControl w:val="0"/>
      </w:pPr>
      <w:hyperlink r:id="rId15" w:history="1">
        <w:r w:rsidR="0036153E">
          <w:rPr>
            <w:rStyle w:val="Hyperlink"/>
          </w:rPr>
          <w:t>1/27/2011</w:t>
        </w:r>
      </w:hyperlink>
    </w:p>
    <w:p w:rsidR="001E5847" w:rsidRDefault="00567E38" w:rsidP="0036153E">
      <w:hyperlink r:id="rId16" w:history="1">
        <w:r w:rsidR="001E5847" w:rsidRPr="001E5847">
          <w:rPr>
            <w:rStyle w:val="Hyperlink"/>
          </w:rPr>
          <w:t>3/23/2011</w:t>
        </w:r>
      </w:hyperlink>
    </w:p>
    <w:p w:rsidR="00DD2048" w:rsidRDefault="00567E38" w:rsidP="0036153E">
      <w:hyperlink r:id="rId17" w:history="1">
        <w:r w:rsidR="00DD2048" w:rsidRPr="00DD2048">
          <w:rPr>
            <w:rStyle w:val="Hyperlink"/>
          </w:rPr>
          <w:t>3/24/2011</w:t>
        </w:r>
      </w:hyperlink>
    </w:p>
    <w:p w:rsidR="00166E75" w:rsidRDefault="00567E38" w:rsidP="0036153E">
      <w:hyperlink r:id="rId18" w:history="1">
        <w:r w:rsidR="00166E75" w:rsidRPr="00166E75">
          <w:rPr>
            <w:rStyle w:val="Hyperlink"/>
          </w:rPr>
          <w:t>5/24/2011</w:t>
        </w:r>
      </w:hyperlink>
    </w:p>
    <w:p w:rsidR="006D54F6" w:rsidRDefault="00567E38" w:rsidP="0036153E">
      <w:hyperlink r:id="rId19" w:history="1">
        <w:r w:rsidR="006D54F6" w:rsidRPr="006D54F6">
          <w:rPr>
            <w:rStyle w:val="Hyperlink"/>
          </w:rPr>
          <w:t>5/25/2011</w:t>
        </w:r>
      </w:hyperlink>
    </w:p>
    <w:p w:rsidR="0036153E" w:rsidRDefault="0036153E" w:rsidP="0036153E"/>
    <w:p w:rsidR="0036153E" w:rsidRDefault="0036153E" w:rsidP="0036153E">
      <w:pPr>
        <w:sectPr w:rsidR="0036153E" w:rsidSect="0036153E">
          <w:pgSz w:w="12240" w:h="15840" w:code="1"/>
          <w:pgMar w:top="1080" w:right="1440" w:bottom="1080" w:left="1440" w:header="720" w:footer="720" w:gutter="0"/>
          <w:cols w:space="720"/>
          <w:noEndnote/>
          <w:docGrid w:linePitch="360"/>
        </w:sectPr>
      </w:pPr>
    </w:p>
    <w:p w:rsidR="006D54F6"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D54F6" w:rsidRPr="00EC23B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D54F6"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Default="006D54F6" w:rsidP="00EC23B0">
      <w:pPr>
        <w:tabs>
          <w:tab w:val="right" w:pos="5933"/>
        </w:tabs>
        <w:suppressAutoHyphens/>
        <w:jc w:val="both"/>
        <w:rPr>
          <w:rFonts w:eastAsia="Times New Roman"/>
        </w:rPr>
      </w:pPr>
      <w:r>
        <w:rPr>
          <w:rFonts w:eastAsia="Times New Roman"/>
        </w:rPr>
        <w:t>COMMITTEE AMENDMENT AMENDED AND ADOPTED</w:t>
      </w:r>
    </w:p>
    <w:p w:rsidR="006D54F6" w:rsidRDefault="006D54F6" w:rsidP="00EC23B0">
      <w:pPr>
        <w:tabs>
          <w:tab w:val="right" w:pos="5933"/>
        </w:tabs>
        <w:suppressAutoHyphens/>
        <w:jc w:val="both"/>
        <w:rPr>
          <w:rFonts w:eastAsia="Times New Roman"/>
        </w:rPr>
      </w:pPr>
      <w:r>
        <w:rPr>
          <w:rFonts w:eastAsia="Times New Roman"/>
        </w:rPr>
        <w:t>May 24, 2011</w:t>
      </w:r>
    </w:p>
    <w:p w:rsidR="006D54F6" w:rsidRDefault="006D54F6" w:rsidP="00EC23B0">
      <w:pPr>
        <w:tabs>
          <w:tab w:val="right" w:pos="5933"/>
        </w:tabs>
        <w:suppressAutoHyphens/>
        <w:jc w:val="both"/>
        <w:rPr>
          <w:rFonts w:eastAsia="Times New Roman"/>
        </w:rPr>
      </w:pPr>
    </w:p>
    <w:p w:rsidR="006D54F6" w:rsidRPr="00EC23B0" w:rsidRDefault="006D54F6" w:rsidP="00EC23B0">
      <w:pPr>
        <w:tabs>
          <w:tab w:val="right" w:pos="5933"/>
        </w:tabs>
        <w:suppressAutoHyphens/>
        <w:jc w:val="both"/>
        <w:rPr>
          <w:rFonts w:eastAsia="Times New Roman"/>
        </w:rPr>
      </w:pPr>
      <w:r>
        <w:rPr>
          <w:rFonts w:eastAsia="Times New Roman"/>
        </w:rPr>
        <w:tab/>
      </w:r>
      <w:r>
        <w:rPr>
          <w:rFonts w:eastAsia="Times New Roman"/>
          <w:b/>
          <w:sz w:val="36"/>
        </w:rPr>
        <w:t>S. 461</w:t>
      </w:r>
    </w:p>
    <w:p w:rsidR="006D54F6"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Default="006D54F6"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Sheheen, Lourie and Ford</w:t>
      </w:r>
    </w:p>
    <w:p w:rsidR="006D54F6"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Default="006D54F6" w:rsidP="008E771B">
      <w:pPr>
        <w:tabs>
          <w:tab w:val="right" w:pos="5933"/>
        </w:tabs>
        <w:suppressAutoHyphens/>
        <w:jc w:val="both"/>
        <w:rPr>
          <w:rFonts w:eastAsia="Times New Roman"/>
        </w:rPr>
      </w:pPr>
      <w:r>
        <w:rPr>
          <w:rFonts w:eastAsia="Times New Roman"/>
        </w:rPr>
        <w:t>S. Printed 5/24/11--S.</w:t>
      </w:r>
      <w:r>
        <w:rPr>
          <w:rFonts w:eastAsia="Times New Roman"/>
        </w:rPr>
        <w:tab/>
        <w:t>[SEC 5/25/11 1:03 PM]</w:t>
      </w:r>
    </w:p>
    <w:p w:rsidR="006D54F6"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54F6" w:rsidRPr="00EC23B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54F6" w:rsidRPr="00EC23B0" w:rsidSect="00EC23B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Pr="008F023B" w:rsidRDefault="006D54F6" w:rsidP="0072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Pr="00522CE0"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CODE OF LAWS OF SOUTH CAROLINA, 1976, BY ADDING SECTION 61-2-85, SO AS TO PROVIDE THAT A HOLDER OF A PERMIT THAT ALLOWS ON-PREMISES CONSUMPTION OF BEER, WINE, OR ALCOHOLIC LIQUORS SHALL RECYCLE EACH RECYCLABLE BEVERAGE CONTAINER SOLD ON THE PREMISES IN ACCORDANCE WITH A MODEL RECYCLING PROGRAM DEVELOPED BY THE DEPARTMENT OF HEALTH AND ENVIRONMENTAL CONTROL; TO AMEND SECTION 61-2-90, RELATING TO REQUIRING AN APPROVED RECYCLING PLAN TO BE INCLUDED IN A PERMIT APPLICATION FOR ON-PREMISES CONSUMPTION; AND TO AMEND SECTION 6-4-20, RELATING TO THE USE OF ACCOMMODATIONS TAXES, SO AS TO PROVIDE FOR FUNDING FOR THE ADMINISTRATION AND IMPLEMENTATION OF THE MODEL RECYCLING PROGRAM.</w:t>
      </w:r>
    </w:p>
    <w:p w:rsidR="006D54F6"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D54F6"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54F6" w:rsidRDefault="006D54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2, Title 61 of the 1976 Code is amended by adding:</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85.</w:t>
      </w:r>
      <w:r>
        <w:rPr>
          <w:rFonts w:eastAsia="Times New Roman"/>
          <w:snapToGrid w:val="0"/>
          <w:szCs w:val="20"/>
        </w:rPr>
        <w:tab/>
        <w:t>(A)</w:t>
      </w:r>
      <w:r>
        <w:rPr>
          <w:rFonts w:eastAsia="Times New Roman"/>
          <w:snapToGrid w:val="0"/>
          <w:szCs w:val="20"/>
        </w:rPr>
        <w:tab/>
        <w:t>For purposes of this section:</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‘Financially feasible recycling program’ means a recycling program that does not increase a permit holder’s total cost for solid waste disposal and recycling by more than fourteen percent of a permit holder’s existing annual costs for solid waste disposal.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 xml:space="preserve">‘Model recycling program’ means a recycling program that shall contain at a minimum: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identification of the recyclable materials to be included in the recycling program, such as glass bottles, plastic bottles, aluminum cans, and packing materials;</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information on locating a recycling service, including, but not limited to, existing solid waste haulers, local government solid waste departments, or commercial recyclers;</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information on the logistics of collecting and disposing of recyclable materials, such as external storage, internal storage, or self</w:t>
      </w:r>
      <w:r>
        <w:rPr>
          <w:rFonts w:eastAsia="Times New Roman"/>
          <w:snapToGrid w:val="0"/>
          <w:szCs w:val="20"/>
        </w:rPr>
        <w:noBreakHyphen/>
        <w:t>hauling to drop</w:t>
      </w:r>
      <w:r>
        <w:rPr>
          <w:rFonts w:eastAsia="Times New Roman"/>
          <w:snapToGrid w:val="0"/>
          <w:szCs w:val="20"/>
        </w:rPr>
        <w:noBreakHyphen/>
        <w:t xml:space="preserve">off centers;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(d)</w:t>
      </w:r>
      <w:r>
        <w:rPr>
          <w:rFonts w:eastAsia="Times New Roman"/>
          <w:snapToGrid w:val="0"/>
          <w:szCs w:val="20"/>
        </w:rPr>
        <w:tab/>
        <w:t>information on the sources and kinds of recycling storage units;</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(e)</w:t>
      </w:r>
      <w:r>
        <w:rPr>
          <w:rFonts w:eastAsia="Times New Roman"/>
          <w:snapToGrid w:val="0"/>
          <w:szCs w:val="20"/>
        </w:rPr>
        <w:tab/>
        <w:t>information on types of employee education programs, such as basic training on recycling; and</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(f)</w:t>
      </w:r>
      <w:r>
        <w:rPr>
          <w:rFonts w:eastAsia="Times New Roman"/>
          <w:snapToGrid w:val="0"/>
          <w:szCs w:val="20"/>
        </w:rPr>
        <w:tab/>
        <w:t>information on strategies that permit holders may use to reduce or control costs.</w:t>
      </w:r>
      <w:r>
        <w:rPr>
          <w:rFonts w:eastAsia="Times New Roman"/>
          <w:snapToGrid w:val="0"/>
          <w:szCs w:val="20"/>
        </w:rPr>
        <w:tab/>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‘Permit holder’ means a holder of a permit or license issued by the Department of Revenue that authorizes on-premises consumption of beer, wine, or alcoholic liquor by the drink.</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‘Financially feasible means of glass collection’ means the existence of a commercial or governmental financially feasible recycling program that allows a permit holder to contract for onsite pickup of glass or provides a glass container recycling drop off location that is easily available to a permit holder.</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‘Recycling plan’ means a plan for recycling that provides for the separation, storage, collection, and recycling of recyclable beverage containers and their packaging that are sold on the premises of a permit holder, including, but not limited to, aluminum, plastic, glass containers, and cardboard used to package, ship, or deliver the beverage containers.</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A permit holder must certify as part of its permitting process with the Department of Revenue that a site specific recycling plan for the collection and recycling of recyclable beverage containers and packaging sold on the premises by the permit holder has been prepared and will be made available upon demand to the Department of Revenue.  Each site specific recycling plan must:</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contain all elements included in a model recycling plan that shall be developed by the Department of Health and Environmental Control and made available on its website; or</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be at least as comprehensive as the model recycling plan.</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A permit holder is exempt:</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from the requirement to implement recycling of glass containers if a financially feasible means of glass collection is not available to a permit holder and a permit holder has documentation to support the exemption; or</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from the requirement to implement a site specific recycling plan if a financially feasible recycling program is not available to a permit holder and a permit holder has documentation to support the exemption.</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 xml:space="preserve">The Department of Revenue shall annually perform a random audit of recycling plans to determine compliance with the provisions of this section.  All permit holders must have a site specific recycling plan.  A permit holder claiming an exemption from implementation of all or part of a recycling plan must provide adequate documentation to support an exemption.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t>(1)</w:t>
      </w:r>
      <w:r>
        <w:rPr>
          <w:rFonts w:eastAsia="Times New Roman"/>
          <w:snapToGrid w:val="0"/>
          <w:szCs w:val="20"/>
        </w:rPr>
        <w:tab/>
        <w:t>A permit holder may be subject to penalties for:</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failure to have a site specific recycling plan;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failure to implement a recycling plan; or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failure to provide adequate documentation supporting an exemption.</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Penalties imposed pursuant to this section are as follows:</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for a first offense, a warning;</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for a second offense, a fine of not less than two hundred fifty dollars nor more than five hundred dollars; or</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for a third or subsequent offense, a fine of one thousand dollars.</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w:t>
      </w:r>
      <w:r>
        <w:rPr>
          <w:rFonts w:eastAsia="Times New Roman"/>
          <w:snapToGrid w:val="0"/>
          <w:szCs w:val="20"/>
        </w:rPr>
        <w:tab/>
        <w:t>For purposes of this section, communications and documents that are required to be transmitted in writing may also be transmitted by electronic transmission, if both the sender and receiver agree to electronic transmission.</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(G)</w:t>
      </w:r>
      <w:r>
        <w:rPr>
          <w:rFonts w:eastAsia="Times New Roman"/>
          <w:snapToGrid w:val="0"/>
          <w:szCs w:val="20"/>
        </w:rPr>
        <w:tab/>
        <w:t>Failure of a permit holder to comply with the provisions of this section shall not be grounds for denial, revocation, or non</w:t>
      </w:r>
      <w:r>
        <w:rPr>
          <w:rFonts w:eastAsia="Times New Roman"/>
          <w:snapToGrid w:val="0"/>
          <w:szCs w:val="20"/>
        </w:rPr>
        <w:noBreakHyphen/>
        <w:t>renewal of a permit authorized under Title 61.”</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90 of the 1976 Code is amended to read:</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90.</w:t>
      </w:r>
      <w:r>
        <w:rPr>
          <w:rFonts w:eastAsia="Times New Roman"/>
          <w:snapToGrid w:val="0"/>
          <w:szCs w:val="20"/>
        </w:rPr>
        <w:tab/>
      </w:r>
      <w:r>
        <w:rPr>
          <w:rFonts w:eastAsia="Times New Roman"/>
          <w:snapToGrid w:val="0"/>
          <w:szCs w:val="20"/>
          <w:u w:val="single"/>
        </w:rPr>
        <w:t>(A)</w:t>
      </w:r>
      <w:r>
        <w:rPr>
          <w:rFonts w:eastAsia="Times New Roman"/>
          <w:snapToGrid w:val="0"/>
          <w:szCs w:val="20"/>
        </w:rPr>
        <w:tab/>
        <w:t xml:space="preserve">A person desiring a license or permit under this title must file with the department an application in writing on forms provided by the department containing a statement under oath setting forth: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the name, address, date of birth, race, and nationality of the person applying for the license or permit;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 xml:space="preserve">the exact location where the business is proposed to be operated;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 xml:space="preserve">a description of the type of business to be operated;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 xml:space="preserve">whether the applicant or an owner of the business has been involved in the sale of alcoholic liquors, beer, or wine in this or another state and whether he has had a license or permit suspended or revoked;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 xml:space="preserve">whether the applicant has been a legal resident of this State for at least thirty days before the date of application, and has maintained his principal place of abode in the State for at least thirty days before the date of application;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(6)</w:t>
      </w:r>
      <w:r>
        <w:rPr>
          <w:rFonts w:eastAsia="Times New Roman"/>
          <w:snapToGrid w:val="0"/>
          <w:szCs w:val="20"/>
        </w:rPr>
        <w:tab/>
        <w:t>other information required by the department to determine if the application meets all statutory requirements for the license or permit and to determine the true owners of the business seeking the license or permit.</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A person applying for or renewing a permit or license to allow on premises consumption of beer, wine, or alcoholic liquor by the drink must include in the application or renewal a written certification that there is a site specific recycling plan for the location on the permit application or renewal as required by Section 61</w:t>
      </w:r>
      <w:r>
        <w:rPr>
          <w:rFonts w:eastAsia="Times New Roman"/>
          <w:snapToGrid w:val="0"/>
          <w:szCs w:val="20"/>
          <w:u w:val="single"/>
        </w:rPr>
        <w:noBreakHyphen/>
        <w:t>2</w:t>
      </w:r>
      <w:r>
        <w:rPr>
          <w:rFonts w:eastAsia="Times New Roman"/>
          <w:snapToGrid w:val="0"/>
          <w:szCs w:val="20"/>
          <w:u w:val="single"/>
        </w:rPr>
        <w:noBreakHyphen/>
        <w:t>85.</w:t>
      </w:r>
      <w:r>
        <w:rPr>
          <w:rFonts w:eastAsia="Times New Roman"/>
          <w:snapToGrid w:val="0"/>
          <w:szCs w:val="20"/>
        </w:rPr>
        <w:t>”</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120 of the 1976 Code is amended to read:</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Pr>
          <w:rFonts w:eastAsia="Times New Roman"/>
          <w:snapToGrid w:val="0"/>
          <w:szCs w:val="20"/>
          <w:u w:val="single"/>
        </w:rPr>
        <w:t>(A)</w:t>
      </w:r>
      <w:r>
        <w:rPr>
          <w:rFonts w:eastAsia="Times New Roman"/>
          <w:snapToGrid w:val="0"/>
          <w:szCs w:val="20"/>
        </w:rPr>
        <w:tab/>
        <w:t xml:space="preserve">Biennial licenses and permits issued under this title expire according to the county where the licensed location is situated.  The expiration dates are the last day of: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February in years which end in an: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Allendale, Bamberg, Barnwell, Beaufort, and Berkeley Counties;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Charleston, Clarendon, Colleton, Dorchester, Georgetown, Hampton, Jasper, and Williamsburg Counties;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 xml:space="preserve">May in years which end in an: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Cherokee, Chester, Chesterfield, Darlington, Dillon, Fairfield, Florence, and Horry Counties;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Lancaster, Marion, Marlboro, Union, and York Counties;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 xml:space="preserve">August in years which end in an: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Calhoun, Kershaw, Lee, Orangeburg, and Sumter Counties;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Richland County;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 xml:space="preserve">November in years which end in an: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Abbeville, Aiken, Anderson, Edgefield, Greenville, and Greenwood Counties; </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Laurens, Lexington, McCormick, Newberry, Oconee, Pickens, Saluda, and Spartanburg Counties. </w:t>
      </w:r>
    </w:p>
    <w:p w:rsidR="006D54F6" w:rsidRPr="00D6597B"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For a period of eight years from the issuance of a permit or license requiring certification of a recycling plan, each holder of an on premises consumption permit or license required to implement a recycling plan pursuant to Section 61</w:t>
      </w:r>
      <w:r>
        <w:rPr>
          <w:rFonts w:eastAsia="Times New Roman"/>
          <w:snapToGrid w:val="0"/>
          <w:szCs w:val="20"/>
          <w:u w:val="single"/>
        </w:rPr>
        <w:noBreakHyphen/>
        <w:t>2</w:t>
      </w:r>
      <w:r>
        <w:rPr>
          <w:rFonts w:eastAsia="Times New Roman"/>
          <w:snapToGrid w:val="0"/>
          <w:szCs w:val="20"/>
          <w:u w:val="single"/>
        </w:rPr>
        <w:noBreakHyphen/>
        <w:t>85 and Section 61</w:t>
      </w:r>
      <w:r>
        <w:rPr>
          <w:rFonts w:eastAsia="Times New Roman"/>
          <w:snapToGrid w:val="0"/>
          <w:szCs w:val="20"/>
          <w:u w:val="single"/>
        </w:rPr>
        <w:noBreakHyphen/>
        <w:t>2</w:t>
      </w:r>
      <w:r>
        <w:rPr>
          <w:rFonts w:eastAsia="Times New Roman"/>
          <w:snapToGrid w:val="0"/>
          <w:szCs w:val="20"/>
          <w:u w:val="single"/>
        </w:rPr>
        <w:noBreakHyphen/>
        <w:t>90 shall be allowed a ten percent reduction on its biennial permit or license fee for every two years that the holder uses a required recycling plan that includes recycling of glass containers.</w:t>
      </w:r>
      <w:r>
        <w:rPr>
          <w:rFonts w:eastAsia="Times New Roman"/>
          <w:snapToGrid w:val="0"/>
          <w:szCs w:val="20"/>
        </w:rPr>
        <w:t>”</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The Department of Health and Environmental Control and the Department of Revenue may promulgate regulations to implement these provisions.</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t>5.</w:t>
      </w:r>
      <w:r>
        <w:rPr>
          <w:rFonts w:eastAsia="Times New Roman"/>
          <w:snapToGrid w:val="0"/>
          <w:szCs w:val="20"/>
        </w:rPr>
        <w:tab/>
        <w:t>This act takes effect one year after approval by the Governor, except for SECTION 5, which shall be effective immediately upon signature of the Governor in order that the Department of Health and Environmental Control shall have a model recycling plan on its website prior to the effective date, and regulations may be promulgated by the Department of Health and Environmental Control and the Department of Revenue pending the effective date.</w:t>
      </w:r>
    </w:p>
    <w:p w:rsidR="006D54F6" w:rsidRDefault="006D54F6"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35DC" w:rsidRDefault="007235DC" w:rsidP="006D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235DC" w:rsidSect="00EC23B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B4B" w:rsidRDefault="005D3B4B" w:rsidP="00522CE0">
      <w:r>
        <w:separator/>
      </w:r>
    </w:p>
  </w:endnote>
  <w:endnote w:type="continuationSeparator" w:id="0">
    <w:p w:rsidR="005D3B4B" w:rsidRDefault="005D3B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1866EC-51B1-4075-8A6D-CD6C71E4F1A3}"/>
    <w:embedBold r:id="rId2" w:fontKey="{52777B57-B2FF-4AC1-A3CF-9B260A6A6F1C}"/>
  </w:font>
  <w:font w:name="Calibri">
    <w:panose1 w:val="020F0502020204030204"/>
    <w:charset w:val="00"/>
    <w:family w:val="swiss"/>
    <w:pitch w:val="variable"/>
    <w:sig w:usb0="E10002FF" w:usb1="4000ACFF" w:usb2="00000009" w:usb3="00000000" w:csb0="0000019F" w:csb1="00000000"/>
    <w:embedRegular r:id="rId3" w:fontKey="{F1C17715-3EE8-4AF7-B601-C9619B663774}"/>
    <w:embedBold r:id="rId4" w:fontKey="{2AB3561F-C7BC-450D-A3EE-E70834FC8602}"/>
  </w:font>
  <w:font w:name="Cambria">
    <w:panose1 w:val="02040503050406030204"/>
    <w:charset w:val="00"/>
    <w:family w:val="roman"/>
    <w:pitch w:val="variable"/>
    <w:sig w:usb0="E00002FF" w:usb1="400004FF" w:usb2="00000000" w:usb3="00000000" w:csb0="0000019F" w:csb1="00000000"/>
    <w:embedRegular r:id="rId5" w:fontKey="{E9F86C12-29D9-4319-B92C-1660AA02E9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F6" w:rsidRPr="007235DC" w:rsidRDefault="006D54F6" w:rsidP="007235DC">
    <w:pPr>
      <w:pStyle w:val="Footer"/>
      <w:tabs>
        <w:tab w:val="clear" w:pos="4680"/>
        <w:tab w:val="clear" w:pos="9360"/>
        <w:tab w:val="center" w:pos="2995"/>
      </w:tabs>
      <w:spacing w:before="120"/>
    </w:pPr>
    <w:r>
      <w:t>[461-</w:t>
    </w:r>
    <w:r w:rsidR="00567E38">
      <w:fldChar w:fldCharType="begin"/>
    </w:r>
    <w:r w:rsidR="00567E38">
      <w:instrText xml:space="preserve"> PAGE  \* MERGEFORMAT </w:instrText>
    </w:r>
    <w:r w:rsidR="00567E38">
      <w:fldChar w:fldCharType="separate"/>
    </w:r>
    <w:r w:rsidR="00567E38">
      <w:rPr>
        <w:noProof/>
      </w:rPr>
      <w:t>1</w:t>
    </w:r>
    <w:r w:rsidR="00567E3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3B0" w:rsidRPr="007235DC" w:rsidRDefault="006D54F6" w:rsidP="007235DC">
    <w:pPr>
      <w:pStyle w:val="Footer"/>
      <w:tabs>
        <w:tab w:val="clear" w:pos="4680"/>
        <w:tab w:val="clear" w:pos="9360"/>
        <w:tab w:val="center" w:pos="2995"/>
      </w:tabs>
      <w:spacing w:before="120"/>
    </w:pPr>
    <w:r>
      <w:t>[461]</w:t>
    </w:r>
    <w:r>
      <w:tab/>
    </w:r>
    <w:r w:rsidR="009732B5">
      <w:fldChar w:fldCharType="begin"/>
    </w:r>
    <w:r>
      <w:instrText xml:space="preserve"> PAGE  \* MERGEFORMAT </w:instrText>
    </w:r>
    <w:r w:rsidR="009732B5">
      <w:fldChar w:fldCharType="separate"/>
    </w:r>
    <w:r>
      <w:rPr>
        <w:noProof/>
      </w:rPr>
      <w:t>5</w:t>
    </w:r>
    <w:r w:rsidR="009732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B4B" w:rsidRDefault="005D3B4B" w:rsidP="00522CE0">
      <w:r>
        <w:separator/>
      </w:r>
    </w:p>
  </w:footnote>
  <w:footnote w:type="continuationSeparator" w:id="0">
    <w:p w:rsidR="005D3B4B" w:rsidRDefault="005D3B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7153"/>
  </w:hdrShapeDefaults>
  <w:footnotePr>
    <w:footnote w:id="-1"/>
    <w:footnote w:id="0"/>
  </w:footnotePr>
  <w:endnotePr>
    <w:endnote w:id="-1"/>
    <w:endnote w:id="0"/>
  </w:endnotePr>
  <w:compat>
    <w:compatSetting w:name="compatibilityMode" w:uri="http://schemas.microsoft.com/office/word" w:val="12"/>
  </w:compat>
  <w:docVars>
    <w:docVar w:name="clipname" w:val="JUD0076.KW"/>
    <w:docVar w:name="CoverAttorneyInitials" w:val="KW"/>
    <w:docVar w:name="CoverAttorneyLastName" w:val="Wells"/>
    <w:docVar w:name="CoverBillType" w:val="b"/>
    <w:docVar w:name="DraftFileName" w:val="JUD0076.KW.DOCX"/>
    <w:docVar w:name="DraftStenoName" w:val="Craft"/>
    <w:docVar w:name="dvBillNumber" w:val="461"/>
    <w:docVar w:name="dvBillNumberPrefix" w:val="S. "/>
    <w:docVar w:name="dvOriginalBody" w:val="Senate"/>
    <w:docVar w:name="fulldraftpath" w:val="L:\S-JUD\BILLS\Cleary\JUD0076.KW.DOCX"/>
    <w:docVar w:name="NameofBody" w:val="S"/>
    <w:docVar w:name="SenatorFolderName" w:val="Cleary"/>
    <w:docVar w:name="VGROUP2" w:val="S-JUD"/>
  </w:docVars>
  <w:rsids>
    <w:rsidRoot w:val="003F4E02"/>
    <w:rsid w:val="000141EB"/>
    <w:rsid w:val="000354F5"/>
    <w:rsid w:val="00042AC1"/>
    <w:rsid w:val="00046516"/>
    <w:rsid w:val="00051107"/>
    <w:rsid w:val="00081B01"/>
    <w:rsid w:val="000A4D08"/>
    <w:rsid w:val="000A6988"/>
    <w:rsid w:val="000B0720"/>
    <w:rsid w:val="000B5EAF"/>
    <w:rsid w:val="000D1909"/>
    <w:rsid w:val="000E473B"/>
    <w:rsid w:val="000F002B"/>
    <w:rsid w:val="00105E29"/>
    <w:rsid w:val="00107C3D"/>
    <w:rsid w:val="00126995"/>
    <w:rsid w:val="001459F4"/>
    <w:rsid w:val="0016543B"/>
    <w:rsid w:val="00166E75"/>
    <w:rsid w:val="00170561"/>
    <w:rsid w:val="00186AC9"/>
    <w:rsid w:val="00187830"/>
    <w:rsid w:val="00190F47"/>
    <w:rsid w:val="00193441"/>
    <w:rsid w:val="00197DF1"/>
    <w:rsid w:val="001B3DD9"/>
    <w:rsid w:val="001D3BAC"/>
    <w:rsid w:val="001E5847"/>
    <w:rsid w:val="00206D3D"/>
    <w:rsid w:val="0024519E"/>
    <w:rsid w:val="00245C4E"/>
    <w:rsid w:val="00252FF3"/>
    <w:rsid w:val="002970D1"/>
    <w:rsid w:val="002C5896"/>
    <w:rsid w:val="002D0B36"/>
    <w:rsid w:val="00307C2B"/>
    <w:rsid w:val="0031409E"/>
    <w:rsid w:val="00333DF1"/>
    <w:rsid w:val="0033541C"/>
    <w:rsid w:val="00342C59"/>
    <w:rsid w:val="0036153E"/>
    <w:rsid w:val="00362FEE"/>
    <w:rsid w:val="00364389"/>
    <w:rsid w:val="003A1E38"/>
    <w:rsid w:val="003A6FF2"/>
    <w:rsid w:val="003C09A4"/>
    <w:rsid w:val="003D6A5D"/>
    <w:rsid w:val="003D6E2B"/>
    <w:rsid w:val="003E7597"/>
    <w:rsid w:val="003F4E02"/>
    <w:rsid w:val="004109DC"/>
    <w:rsid w:val="00412C9E"/>
    <w:rsid w:val="0044477C"/>
    <w:rsid w:val="00450668"/>
    <w:rsid w:val="00452CD7"/>
    <w:rsid w:val="00472468"/>
    <w:rsid w:val="00477696"/>
    <w:rsid w:val="004910CA"/>
    <w:rsid w:val="004952FA"/>
    <w:rsid w:val="004A592F"/>
    <w:rsid w:val="004B6A22"/>
    <w:rsid w:val="004D168C"/>
    <w:rsid w:val="004D6923"/>
    <w:rsid w:val="004D7F37"/>
    <w:rsid w:val="00513320"/>
    <w:rsid w:val="0051584C"/>
    <w:rsid w:val="00520D79"/>
    <w:rsid w:val="00522CE0"/>
    <w:rsid w:val="005256EB"/>
    <w:rsid w:val="00541FF6"/>
    <w:rsid w:val="00565148"/>
    <w:rsid w:val="005653C0"/>
    <w:rsid w:val="00567E38"/>
    <w:rsid w:val="00581497"/>
    <w:rsid w:val="00586B30"/>
    <w:rsid w:val="0058748C"/>
    <w:rsid w:val="00593361"/>
    <w:rsid w:val="005A5017"/>
    <w:rsid w:val="005A648C"/>
    <w:rsid w:val="005A6612"/>
    <w:rsid w:val="005C07EA"/>
    <w:rsid w:val="005C1C56"/>
    <w:rsid w:val="005D3B4B"/>
    <w:rsid w:val="005F15E4"/>
    <w:rsid w:val="006054DC"/>
    <w:rsid w:val="00606D23"/>
    <w:rsid w:val="0061430E"/>
    <w:rsid w:val="00641A16"/>
    <w:rsid w:val="006431BA"/>
    <w:rsid w:val="00692501"/>
    <w:rsid w:val="006B4B3C"/>
    <w:rsid w:val="006C74EA"/>
    <w:rsid w:val="006D0E8A"/>
    <w:rsid w:val="006D54F6"/>
    <w:rsid w:val="00720D40"/>
    <w:rsid w:val="007235DC"/>
    <w:rsid w:val="00723CCD"/>
    <w:rsid w:val="007315A1"/>
    <w:rsid w:val="007318D4"/>
    <w:rsid w:val="00746551"/>
    <w:rsid w:val="00765784"/>
    <w:rsid w:val="00776728"/>
    <w:rsid w:val="00784E6E"/>
    <w:rsid w:val="007A4390"/>
    <w:rsid w:val="007A57B2"/>
    <w:rsid w:val="007B2E23"/>
    <w:rsid w:val="007C65B0"/>
    <w:rsid w:val="007E3B8F"/>
    <w:rsid w:val="007E5CB7"/>
    <w:rsid w:val="008040EE"/>
    <w:rsid w:val="008314D2"/>
    <w:rsid w:val="0086671C"/>
    <w:rsid w:val="008712D4"/>
    <w:rsid w:val="008804AE"/>
    <w:rsid w:val="008A06DC"/>
    <w:rsid w:val="008B2F42"/>
    <w:rsid w:val="008E185F"/>
    <w:rsid w:val="008E2030"/>
    <w:rsid w:val="008E5870"/>
    <w:rsid w:val="008F023B"/>
    <w:rsid w:val="008F7524"/>
    <w:rsid w:val="00904E16"/>
    <w:rsid w:val="00927C62"/>
    <w:rsid w:val="00931A96"/>
    <w:rsid w:val="00935C67"/>
    <w:rsid w:val="009732B5"/>
    <w:rsid w:val="00983951"/>
    <w:rsid w:val="00984124"/>
    <w:rsid w:val="00984640"/>
    <w:rsid w:val="00995C37"/>
    <w:rsid w:val="009C118A"/>
    <w:rsid w:val="00A02011"/>
    <w:rsid w:val="00A12D88"/>
    <w:rsid w:val="00A35165"/>
    <w:rsid w:val="00A4011E"/>
    <w:rsid w:val="00A42AAC"/>
    <w:rsid w:val="00A86015"/>
    <w:rsid w:val="00AE59C8"/>
    <w:rsid w:val="00B030B6"/>
    <w:rsid w:val="00B10098"/>
    <w:rsid w:val="00B1026F"/>
    <w:rsid w:val="00B10E10"/>
    <w:rsid w:val="00B35389"/>
    <w:rsid w:val="00B450FF"/>
    <w:rsid w:val="00B945C5"/>
    <w:rsid w:val="00BA20EA"/>
    <w:rsid w:val="00BC0A56"/>
    <w:rsid w:val="00BF5201"/>
    <w:rsid w:val="00C00D9E"/>
    <w:rsid w:val="00C045FF"/>
    <w:rsid w:val="00C21B2D"/>
    <w:rsid w:val="00C23348"/>
    <w:rsid w:val="00C6454A"/>
    <w:rsid w:val="00C74052"/>
    <w:rsid w:val="00CA4147"/>
    <w:rsid w:val="00CB187A"/>
    <w:rsid w:val="00CC4AC2"/>
    <w:rsid w:val="00CD7C71"/>
    <w:rsid w:val="00D1088B"/>
    <w:rsid w:val="00D156D2"/>
    <w:rsid w:val="00D77EC0"/>
    <w:rsid w:val="00D8123A"/>
    <w:rsid w:val="00D86943"/>
    <w:rsid w:val="00D95A96"/>
    <w:rsid w:val="00DA47B9"/>
    <w:rsid w:val="00DD2048"/>
    <w:rsid w:val="00DD75F7"/>
    <w:rsid w:val="00E07082"/>
    <w:rsid w:val="00E1745A"/>
    <w:rsid w:val="00E677A1"/>
    <w:rsid w:val="00E91E2F"/>
    <w:rsid w:val="00EA3546"/>
    <w:rsid w:val="00EB1AAC"/>
    <w:rsid w:val="00EB47AE"/>
    <w:rsid w:val="00EC34E1"/>
    <w:rsid w:val="00ED0AE1"/>
    <w:rsid w:val="00F0234A"/>
    <w:rsid w:val="00F262D1"/>
    <w:rsid w:val="00F46B27"/>
    <w:rsid w:val="00F52959"/>
    <w:rsid w:val="00F532D4"/>
    <w:rsid w:val="00F54AD4"/>
    <w:rsid w:val="00F55884"/>
    <w:rsid w:val="00FB5399"/>
    <w:rsid w:val="00FC0450"/>
    <w:rsid w:val="00FC0D36"/>
    <w:rsid w:val="00FC48C7"/>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7153"/>
    <o:shapelayout v:ext="edit">
      <o:idmap v:ext="edit" data="1"/>
    </o:shapelayout>
  </w:shapeDefaults>
  <w:doNotEmbedSmartTags/>
  <w:decimalSymbol w:val="."/>
  <w:listSeparator w:val=","/>
  <w15:docId w15:val="{6CAC8788-BE9D-42D0-B9B3-408979EA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615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3-11.docx" TargetMode="External"/><Relationship Id="rId13" Type="http://schemas.openxmlformats.org/officeDocument/2006/relationships/hyperlink" Target="file:///h:\hj%20archive\2011\06-02-11.docx" TargetMode="External"/><Relationship Id="rId18" Type="http://schemas.openxmlformats.org/officeDocument/2006/relationships/hyperlink" Target="file:///p:\pprever\2011-12\461_20110524.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1\01-27-11.docx" TargetMode="External"/><Relationship Id="rId12" Type="http://schemas.openxmlformats.org/officeDocument/2006/relationships/hyperlink" Target="file:///h:\sj%20archive\2011\06-02-11.docx" TargetMode="External"/><Relationship Id="rId17" Type="http://schemas.openxmlformats.org/officeDocument/2006/relationships/hyperlink" Target="file:///p:\pprever\2011-12\461_20110324.docx" TargetMode="External"/><Relationship Id="rId2" Type="http://schemas.openxmlformats.org/officeDocument/2006/relationships/settings" Target="settings.xml"/><Relationship Id="rId16" Type="http://schemas.openxmlformats.org/officeDocument/2006/relationships/hyperlink" Target="file:///p:\pprever\2011-12\461_20110323.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1-27-11.docx" TargetMode="External"/><Relationship Id="rId11" Type="http://schemas.openxmlformats.org/officeDocument/2006/relationships/hyperlink" Target="file:///h:\sj%20archive\2011\05-24-11.docx" TargetMode="External"/><Relationship Id="rId5" Type="http://schemas.openxmlformats.org/officeDocument/2006/relationships/endnotes" Target="endnotes.xml"/><Relationship Id="rId15" Type="http://schemas.openxmlformats.org/officeDocument/2006/relationships/hyperlink" Target="file:///p:\pprever\2011-12\461_20110127.docx" TargetMode="External"/><Relationship Id="rId23" Type="http://schemas.openxmlformats.org/officeDocument/2006/relationships/theme" Target="theme/theme1.xml"/><Relationship Id="rId10" Type="http://schemas.openxmlformats.org/officeDocument/2006/relationships/hyperlink" Target="file:///h:\sj%20archive\2011\05-24-11.docx" TargetMode="External"/><Relationship Id="rId19" Type="http://schemas.openxmlformats.org/officeDocument/2006/relationships/hyperlink" Target="file:///p:\pprever\2011-12\461_20110525.docx" TargetMode="External"/><Relationship Id="rId4" Type="http://schemas.openxmlformats.org/officeDocument/2006/relationships/footnotes" Target="footnotes.xml"/><Relationship Id="rId9" Type="http://schemas.openxmlformats.org/officeDocument/2006/relationships/hyperlink" Target="file:///h:\sj%20archive\2011\05-24-11.docx" TargetMode="External"/><Relationship Id="rId14" Type="http://schemas.openxmlformats.org/officeDocument/2006/relationships/hyperlink" Target="file:///h:\hj%20archive\2011\06-02-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1679</Words>
  <Characters>9070</Characters>
  <Application>Microsoft Office Word</Application>
  <DocSecurity>4</DocSecurity>
  <Lines>258</Lines>
  <Paragraphs>102</Paragraphs>
  <ScaleCrop>false</ScaleCrop>
  <Company> </Company>
  <LinksUpToDate>false</LinksUpToDate>
  <CharactersWithSpaces>10831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461: Alcohol permit for consumption on premises - South Carolina Legislature Online</dc:title>
  <dc:subject/>
  <dc:creator>SusanCraft</dc:creator>
  <cp:keywords/>
  <dc:description/>
  <cp:lastModifiedBy>N Cumfer</cp:lastModifiedBy>
  <cp:revision>2</cp:revision>
  <dcterms:created xsi:type="dcterms:W3CDTF">2014-11-21T20:44:00Z</dcterms:created>
  <dcterms:modified xsi:type="dcterms:W3CDTF">2014-11-21T20:44:00Z</dcterms:modified>
</cp:coreProperties>
</file>