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CAA" w:rsidRDefault="007E0CAA" w:rsidP="007E0CAA">
      <w:pPr>
        <w:widowControl w:val="0"/>
        <w:jc w:val="center"/>
      </w:pPr>
      <w:bookmarkStart w:id="0" w:name="_GoBack"/>
      <w:bookmarkEnd w:id="0"/>
      <w:r w:rsidRPr="007E0CAA">
        <w:rPr>
          <w:b/>
        </w:rPr>
        <w:t>South Carolina General Assembly</w:t>
      </w:r>
    </w:p>
    <w:p w:rsidR="007E0CAA" w:rsidRDefault="007E0CAA" w:rsidP="007E0CAA">
      <w:pPr>
        <w:widowControl w:val="0"/>
        <w:jc w:val="center"/>
      </w:pPr>
      <w:r>
        <w:t>119th Session, 2011-2012</w:t>
      </w:r>
    </w:p>
    <w:p w:rsidR="007E0CAA" w:rsidRDefault="007E0CAA" w:rsidP="007E0CAA">
      <w:pPr>
        <w:widowControl w:val="0"/>
        <w:jc w:val="left"/>
      </w:pPr>
    </w:p>
    <w:p w:rsidR="007E0CAA" w:rsidRDefault="007E0CAA" w:rsidP="007E0CAA">
      <w:pPr>
        <w:widowControl w:val="0"/>
        <w:jc w:val="left"/>
        <w:rPr>
          <w:b/>
        </w:rPr>
      </w:pPr>
      <w:r w:rsidRPr="007E0CAA">
        <w:rPr>
          <w:b/>
        </w:rPr>
        <w:t>H. 5054</w:t>
      </w:r>
    </w:p>
    <w:p w:rsidR="007E0CAA" w:rsidRDefault="007E0CAA" w:rsidP="007E0CAA">
      <w:pPr>
        <w:widowControl w:val="0"/>
        <w:jc w:val="left"/>
        <w:rPr>
          <w:b/>
        </w:rPr>
      </w:pPr>
    </w:p>
    <w:p w:rsidR="007E0CAA" w:rsidRDefault="007E0CAA" w:rsidP="007E0CAA">
      <w:pPr>
        <w:widowControl w:val="0"/>
        <w:jc w:val="left"/>
      </w:pPr>
      <w:r w:rsidRPr="007E0CAA">
        <w:rPr>
          <w:b/>
        </w:rPr>
        <w:t>STATUS INFORMATION</w:t>
      </w:r>
    </w:p>
    <w:p w:rsidR="007E0CAA" w:rsidRDefault="007E0CAA" w:rsidP="007E0CAA">
      <w:pPr>
        <w:widowControl w:val="0"/>
        <w:jc w:val="left"/>
      </w:pPr>
    </w:p>
    <w:p w:rsidR="007E0CAA" w:rsidRDefault="007E0CAA" w:rsidP="007E0CAA">
      <w:pPr>
        <w:widowControl w:val="0"/>
        <w:jc w:val="left"/>
      </w:pPr>
      <w:r>
        <w:t>General Bill</w:t>
      </w:r>
    </w:p>
    <w:p w:rsidR="007E0CAA" w:rsidRDefault="007E0CAA" w:rsidP="007E0CAA">
      <w:pPr>
        <w:widowControl w:val="0"/>
        <w:jc w:val="left"/>
      </w:pPr>
      <w:r>
        <w:t>Sponsors: Rep. Bannister</w:t>
      </w:r>
    </w:p>
    <w:p w:rsidR="007E0CAA" w:rsidRDefault="007E0CAA" w:rsidP="007E0CAA">
      <w:pPr>
        <w:widowControl w:val="0"/>
        <w:jc w:val="left"/>
      </w:pPr>
      <w:r>
        <w:t>Document Path: l:\council\bills\agm\19463ab12.docx</w:t>
      </w:r>
    </w:p>
    <w:p w:rsidR="007E0CAA" w:rsidRDefault="007E0CAA" w:rsidP="007E0CAA">
      <w:pPr>
        <w:widowControl w:val="0"/>
        <w:jc w:val="left"/>
      </w:pPr>
    </w:p>
    <w:p w:rsidR="007E0CAA" w:rsidRDefault="007E0CAA" w:rsidP="007E0CAA">
      <w:pPr>
        <w:widowControl w:val="0"/>
        <w:jc w:val="left"/>
      </w:pPr>
      <w:r>
        <w:t>Introduced in the House on March 21, 2012</w:t>
      </w:r>
    </w:p>
    <w:p w:rsidR="007E0CAA" w:rsidRDefault="007E0CAA" w:rsidP="007E0CAA">
      <w:pPr>
        <w:widowControl w:val="0"/>
        <w:jc w:val="left"/>
      </w:pPr>
      <w:r>
        <w:t xml:space="preserve">Currently residing in the House Committee on </w:t>
      </w:r>
      <w:r w:rsidRPr="007E0CAA">
        <w:rPr>
          <w:b/>
        </w:rPr>
        <w:t>Judiciary</w:t>
      </w:r>
    </w:p>
    <w:p w:rsidR="007E0CAA" w:rsidRDefault="007E0CAA" w:rsidP="007E0CAA">
      <w:pPr>
        <w:widowControl w:val="0"/>
        <w:jc w:val="left"/>
      </w:pPr>
    </w:p>
    <w:p w:rsidR="007E0CAA" w:rsidRDefault="007E0CAA" w:rsidP="007E0CAA">
      <w:pPr>
        <w:widowControl w:val="0"/>
        <w:jc w:val="left"/>
      </w:pPr>
      <w:r>
        <w:t xml:space="preserve">Summary: </w:t>
      </w:r>
      <w:r w:rsidR="00221DD2">
        <w:t>Bail bondsmen or runners</w:t>
      </w:r>
    </w:p>
    <w:p w:rsidR="007E0CAA" w:rsidRDefault="007E0CAA" w:rsidP="007E0CAA">
      <w:pPr>
        <w:widowControl w:val="0"/>
        <w:jc w:val="left"/>
      </w:pPr>
    </w:p>
    <w:p w:rsidR="007E0CAA" w:rsidRDefault="007E0CAA" w:rsidP="007E0CAA">
      <w:pPr>
        <w:widowControl w:val="0"/>
        <w:jc w:val="left"/>
      </w:pPr>
    </w:p>
    <w:p w:rsidR="007E0CAA" w:rsidRDefault="007E0CAA" w:rsidP="007E0CAA">
      <w:pPr>
        <w:widowControl w:val="0"/>
        <w:tabs>
          <w:tab w:val="center" w:pos="590"/>
          <w:tab w:val="center" w:pos="1440"/>
          <w:tab w:val="left" w:pos="1872"/>
          <w:tab w:val="left" w:pos="9187"/>
        </w:tabs>
        <w:jc w:val="left"/>
      </w:pPr>
      <w:r w:rsidRPr="007E0CAA">
        <w:rPr>
          <w:b/>
        </w:rPr>
        <w:t>HISTORY OF LEGISLATIVE ACTIONS</w:t>
      </w:r>
    </w:p>
    <w:p w:rsidR="007E0CAA" w:rsidRDefault="007E0CAA" w:rsidP="007E0CAA">
      <w:pPr>
        <w:widowControl w:val="0"/>
        <w:tabs>
          <w:tab w:val="center" w:pos="590"/>
          <w:tab w:val="center" w:pos="1440"/>
          <w:tab w:val="left" w:pos="1872"/>
          <w:tab w:val="left" w:pos="9187"/>
        </w:tabs>
        <w:jc w:val="left"/>
      </w:pPr>
    </w:p>
    <w:p w:rsidR="007E0CAA" w:rsidRPr="007E0CAA" w:rsidRDefault="007E0CAA" w:rsidP="007E0CAA">
      <w:pPr>
        <w:widowControl w:val="0"/>
        <w:tabs>
          <w:tab w:val="center" w:pos="590"/>
          <w:tab w:val="center" w:pos="1440"/>
          <w:tab w:val="left" w:pos="1872"/>
          <w:tab w:val="left" w:pos="9187"/>
        </w:tabs>
        <w:jc w:val="left"/>
      </w:pPr>
      <w:r w:rsidRPr="007E0CAA">
        <w:rPr>
          <w:u w:val="single"/>
        </w:rPr>
        <w:tab/>
        <w:t>Date</w:t>
      </w:r>
      <w:r w:rsidRPr="007E0CAA">
        <w:rPr>
          <w:u w:val="single"/>
        </w:rPr>
        <w:tab/>
        <w:t>Body</w:t>
      </w:r>
      <w:r w:rsidRPr="007E0CAA">
        <w:rPr>
          <w:u w:val="single"/>
        </w:rPr>
        <w:tab/>
        <w:t>Action Description with journal page number</w:t>
      </w:r>
      <w:r w:rsidRPr="007E0CAA">
        <w:rPr>
          <w:u w:val="single"/>
        </w:rPr>
        <w:tab/>
      </w:r>
    </w:p>
    <w:p w:rsidR="0049044B" w:rsidRDefault="0049044B" w:rsidP="0049044B">
      <w:pPr>
        <w:widowControl w:val="0"/>
        <w:tabs>
          <w:tab w:val="right" w:pos="1008"/>
          <w:tab w:val="left" w:pos="1152"/>
          <w:tab w:val="left" w:pos="1872"/>
          <w:tab w:val="left" w:pos="9187"/>
        </w:tabs>
        <w:ind w:left="2088" w:hanging="2088"/>
        <w:jc w:val="left"/>
      </w:pPr>
      <w:r>
        <w:tab/>
        <w:t>3/21/2012</w:t>
      </w:r>
      <w:r>
        <w:tab/>
        <w:t>House</w:t>
      </w:r>
      <w:r>
        <w:tab/>
      </w:r>
      <w:r w:rsidRPr="0058045B">
        <w:t>Introduced and read first time (</w:t>
      </w:r>
      <w:hyperlink r:id="rId7" w:history="1">
        <w:r w:rsidRPr="0058045B">
          <w:rPr>
            <w:rStyle w:val="Hyperlink"/>
          </w:rPr>
          <w:t>House Journal</w:t>
        </w:r>
        <w:r w:rsidRPr="0058045B">
          <w:rPr>
            <w:rStyle w:val="Hyperlink"/>
          </w:rPr>
          <w:noBreakHyphen/>
          <w:t>page 62</w:t>
        </w:r>
      </w:hyperlink>
      <w:r w:rsidRPr="0058045B">
        <w:t>)</w:t>
      </w:r>
    </w:p>
    <w:p w:rsidR="0049044B" w:rsidRDefault="0049044B" w:rsidP="0049044B">
      <w:pPr>
        <w:widowControl w:val="0"/>
        <w:tabs>
          <w:tab w:val="right" w:pos="1008"/>
          <w:tab w:val="left" w:pos="1152"/>
          <w:tab w:val="left" w:pos="1872"/>
          <w:tab w:val="left" w:pos="9187"/>
        </w:tabs>
        <w:ind w:left="2088" w:hanging="2088"/>
        <w:jc w:val="left"/>
      </w:pPr>
      <w:r>
        <w:tab/>
        <w:t>3/21/2012</w:t>
      </w:r>
      <w:r>
        <w:tab/>
        <w:t>House</w:t>
      </w:r>
      <w:r>
        <w:tab/>
      </w:r>
      <w:r w:rsidRPr="0058045B">
        <w:t>Ref</w:t>
      </w:r>
      <w:r>
        <w:t xml:space="preserve">erred to Committee on </w:t>
      </w:r>
      <w:r w:rsidRPr="0058045B">
        <w:rPr>
          <w:b/>
        </w:rPr>
        <w:t>Judiciary</w:t>
      </w:r>
      <w:r>
        <w:t xml:space="preserve"> </w:t>
      </w:r>
      <w:r w:rsidRPr="0058045B">
        <w:t>(</w:t>
      </w:r>
      <w:hyperlink r:id="rId8" w:history="1">
        <w:r w:rsidRPr="0058045B">
          <w:rPr>
            <w:rStyle w:val="Hyperlink"/>
          </w:rPr>
          <w:t>House Journal</w:t>
        </w:r>
        <w:r w:rsidRPr="0058045B">
          <w:rPr>
            <w:rStyle w:val="Hyperlink"/>
          </w:rPr>
          <w:noBreakHyphen/>
          <w:t>page 62</w:t>
        </w:r>
      </w:hyperlink>
      <w:r w:rsidRPr="0058045B">
        <w:t>)</w:t>
      </w:r>
    </w:p>
    <w:p w:rsidR="0049044B" w:rsidRDefault="0049044B" w:rsidP="0049044B">
      <w:pPr>
        <w:widowControl w:val="0"/>
        <w:tabs>
          <w:tab w:val="right" w:pos="1008"/>
          <w:tab w:val="left" w:pos="1152"/>
          <w:tab w:val="left" w:pos="1872"/>
          <w:tab w:val="left" w:pos="9187"/>
        </w:tabs>
        <w:ind w:left="2088" w:hanging="2088"/>
        <w:jc w:val="left"/>
      </w:pPr>
    </w:p>
    <w:p w:rsidR="007E0CAA" w:rsidRPr="007E0CAA" w:rsidRDefault="007E0CAA" w:rsidP="007E0CAA">
      <w:pPr>
        <w:widowControl w:val="0"/>
        <w:tabs>
          <w:tab w:val="right" w:pos="1008"/>
          <w:tab w:val="left" w:pos="1152"/>
          <w:tab w:val="left" w:pos="1872"/>
          <w:tab w:val="left" w:pos="9187"/>
        </w:tabs>
        <w:ind w:left="2088" w:hanging="2088"/>
        <w:jc w:val="left"/>
      </w:pPr>
    </w:p>
    <w:p w:rsidR="007E0CAA" w:rsidRDefault="007E0CAA" w:rsidP="007E0CAA">
      <w:pPr>
        <w:widowControl w:val="0"/>
        <w:jc w:val="left"/>
      </w:pPr>
      <w:r w:rsidRPr="007E0CAA">
        <w:rPr>
          <w:b/>
        </w:rPr>
        <w:t>VERSIONS OF THIS BILL</w:t>
      </w:r>
    </w:p>
    <w:p w:rsidR="007E0CAA" w:rsidRDefault="007E0CAA" w:rsidP="007E0CAA">
      <w:pPr>
        <w:widowControl w:val="0"/>
        <w:jc w:val="left"/>
      </w:pPr>
    </w:p>
    <w:p w:rsidR="007E0CAA" w:rsidRDefault="00507C09" w:rsidP="007E0CAA">
      <w:pPr>
        <w:widowControl w:val="0"/>
        <w:jc w:val="left"/>
      </w:pPr>
      <w:hyperlink r:id="rId9" w:history="1">
        <w:r w:rsidR="007E0CAA">
          <w:rPr>
            <w:rStyle w:val="Hyperlink"/>
          </w:rPr>
          <w:t>3/21/2012</w:t>
        </w:r>
      </w:hyperlink>
    </w:p>
    <w:p w:rsidR="007E0CAA" w:rsidRDefault="007E0CAA" w:rsidP="007E0CAA"/>
    <w:p w:rsidR="007E0CAA" w:rsidRDefault="007E0CAA" w:rsidP="007E0CAA">
      <w:pPr>
        <w:sectPr w:rsidR="007E0CAA" w:rsidSect="007E0CAA">
          <w:pgSz w:w="12240" w:h="15840" w:code="1"/>
          <w:pgMar w:top="1080" w:right="1440" w:bottom="1080" w:left="1440" w:header="720" w:footer="720" w:gutter="0"/>
          <w:cols w:space="720"/>
          <w:noEndnote/>
          <w:docGrid w:linePitch="360"/>
        </w:sectPr>
      </w:pPr>
    </w:p>
    <w:p w:rsidR="00527700" w:rsidRDefault="00527700" w:rsidP="00527700">
      <w:pPr>
        <w:pStyle w:val="BillDots"/>
      </w:pPr>
    </w:p>
    <w:p w:rsidR="00527700" w:rsidRDefault="00527700" w:rsidP="00527700">
      <w:pPr>
        <w:pStyle w:val="Numbersforbills"/>
      </w:pPr>
    </w:p>
    <w:p w:rsidR="00527700" w:rsidRDefault="00527700" w:rsidP="0052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00" w:rsidRDefault="00527700" w:rsidP="0052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00" w:rsidRDefault="00527700" w:rsidP="0052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00" w:rsidRDefault="00527700" w:rsidP="0052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00" w:rsidRDefault="00527700" w:rsidP="0052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5A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97"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E23C19">
        <w:noBreakHyphen/>
      </w:r>
      <w:r>
        <w:t>53</w:t>
      </w:r>
      <w:r w:rsidR="00E23C19">
        <w:noBreakHyphen/>
      </w:r>
      <w:r>
        <w:t>170, CODE OF LAWS OF SOUTH CAROLINA, 1976, RELATING TO UNLAWFUL ACTS OF BAIL</w:t>
      </w:r>
      <w:r w:rsidR="00E23C19">
        <w:t xml:space="preserve"> </w:t>
      </w:r>
      <w:r>
        <w:t>BONDSMEN OR RUNNERS, SO AS TO PROVIDE NO BAIL BONDSMAN OR RUNNER MAY IN NO WAY COMMUNICATE UNTRUE, DECEPTIVE, OR MISLEADING INFORMATION ABOUT ITS PREMIUMS, PERCENTAGES, OR FEE OFFERINGS.</w:t>
      </w:r>
    </w:p>
    <w:p w:rsidR="00D45A58" w:rsidRDefault="00D45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A58" w:rsidRDefault="00D45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A58" w:rsidRDefault="00D45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58" w:rsidRDefault="00D45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0C97">
        <w:t>Section 38</w:t>
      </w:r>
      <w:r w:rsidR="00E23C19">
        <w:noBreakHyphen/>
      </w:r>
      <w:r w:rsidR="00740C97">
        <w:t>53</w:t>
      </w:r>
      <w:r w:rsidR="00E23C19">
        <w:noBreakHyphen/>
      </w:r>
      <w:r w:rsidR="00740C97">
        <w:t>170 of the 1976 Code is amended to read:</w:t>
      </w:r>
    </w:p>
    <w:p w:rsidR="00740C97" w:rsidRDefault="00740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E23C19">
        <w:noBreakHyphen/>
      </w:r>
      <w:r>
        <w:t>53</w:t>
      </w:r>
      <w:r w:rsidR="00E23C19">
        <w:noBreakHyphen/>
      </w:r>
      <w:r>
        <w:t>170.</w:t>
      </w:r>
      <w:r>
        <w:tab/>
      </w:r>
      <w:r w:rsidRPr="0085379D">
        <w:rPr>
          <w:color w:val="000000"/>
        </w:rPr>
        <w:t xml:space="preserve">No bondsman or runner may: </w:t>
      </w: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40C97">
        <w:rPr>
          <w:strike/>
          <w:color w:val="000000"/>
        </w:rPr>
        <w:t>a</w:t>
      </w:r>
      <w:r>
        <w:rPr>
          <w:color w:val="000000"/>
          <w:u w:val="single"/>
        </w:rPr>
        <w:t>1</w:t>
      </w:r>
      <w:r>
        <w:rPr>
          <w:color w:val="000000"/>
        </w:rPr>
        <w:t>)</w:t>
      </w:r>
      <w:r>
        <w:rPr>
          <w:color w:val="000000"/>
        </w:rPr>
        <w:tab/>
      </w:r>
      <w:r w:rsidRPr="0085379D">
        <w:rPr>
          <w:color w:val="000000"/>
        </w:rPr>
        <w:t xml:space="preserve">pay a fee or rebate or give or promise anything of value, directly or indirectly, to a jailer, law enforcement officer, committing magistrate, or any other person who has power to arrest or hold in custody, or to any public official or public employee in order to secure a settlement, compromise, remission, or reduction of the amount of any bail bond or the forfeiture of the bail bond, including the payment to the law enforcement officers, directly or indirectly, for the arrest or apprehension of a principal or principals who have caused a forfeiture; </w:t>
      </w: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40C97">
        <w:rPr>
          <w:strike/>
          <w:color w:val="000000"/>
        </w:rPr>
        <w:t>b</w:t>
      </w:r>
      <w:r>
        <w:rPr>
          <w:color w:val="000000"/>
          <w:u w:val="single"/>
        </w:rPr>
        <w:t>2</w:t>
      </w:r>
      <w:r>
        <w:rPr>
          <w:color w:val="000000"/>
        </w:rPr>
        <w:t>)</w:t>
      </w:r>
      <w:r>
        <w:rPr>
          <w:color w:val="000000"/>
        </w:rPr>
        <w:tab/>
      </w:r>
      <w:r w:rsidRPr="0085379D">
        <w:rPr>
          <w:color w:val="000000"/>
        </w:rPr>
        <w:t xml:space="preserve">pay a fee or rebate or give anything of value to an attorney in bail bond matters, except in defense of any action on a bond; </w:t>
      </w: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740C97">
        <w:rPr>
          <w:strike/>
          <w:color w:val="000000"/>
        </w:rPr>
        <w:t>c</w:t>
      </w:r>
      <w:r>
        <w:rPr>
          <w:color w:val="000000"/>
          <w:u w:val="single"/>
        </w:rPr>
        <w:t>3</w:t>
      </w:r>
      <w:r>
        <w:rPr>
          <w:color w:val="000000"/>
        </w:rPr>
        <w:t>)</w:t>
      </w:r>
      <w:r>
        <w:rPr>
          <w:color w:val="000000"/>
        </w:rPr>
        <w:tab/>
      </w:r>
      <w:r w:rsidRPr="0085379D">
        <w:rPr>
          <w:color w:val="000000"/>
        </w:rPr>
        <w:t xml:space="preserve">pay a fee or rebate or give or promise anything of value to the principal or anyone in his behalf; </w:t>
      </w: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40C97">
        <w:rPr>
          <w:strike/>
          <w:color w:val="000000"/>
        </w:rPr>
        <w:t>d</w:t>
      </w:r>
      <w:r>
        <w:rPr>
          <w:color w:val="000000"/>
          <w:u w:val="single"/>
        </w:rPr>
        <w:t>4</w:t>
      </w:r>
      <w:r>
        <w:rPr>
          <w:color w:val="000000"/>
        </w:rPr>
        <w:t>)</w:t>
      </w:r>
      <w:r>
        <w:rPr>
          <w:color w:val="000000"/>
        </w:rPr>
        <w:tab/>
      </w:r>
      <w:r w:rsidRPr="0085379D">
        <w:rPr>
          <w:color w:val="000000"/>
        </w:rPr>
        <w:t xml:space="preserve">participate in the capacity of an attorney at a trial or hearing of one on whose bond he is surety, nor suggest or advise the employment of or name for employment any particular attorney to represent the principal; </w:t>
      </w: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40C97">
        <w:rPr>
          <w:strike/>
          <w:color w:val="000000"/>
        </w:rPr>
        <w:t>e</w:t>
      </w:r>
      <w:r>
        <w:rPr>
          <w:color w:val="000000"/>
          <w:u w:val="single"/>
        </w:rPr>
        <w:t>5</w:t>
      </w:r>
      <w:r>
        <w:rPr>
          <w:color w:val="000000"/>
        </w:rPr>
        <w:t>)</w:t>
      </w:r>
      <w:r>
        <w:rPr>
          <w:color w:val="000000"/>
        </w:rPr>
        <w:tab/>
      </w:r>
      <w:r w:rsidRPr="0085379D">
        <w:rPr>
          <w:color w:val="000000"/>
        </w:rPr>
        <w:t>accept anything of value from a principal except the premium, which may not exceed fifteen percent of the face amount of the bond, with a minimum fee of twenty</w:t>
      </w:r>
      <w:r w:rsidR="00E23C19">
        <w:rPr>
          <w:color w:val="000000"/>
        </w:rPr>
        <w:noBreakHyphen/>
      </w:r>
      <w:r w:rsidRPr="0085379D">
        <w:rPr>
          <w:color w:val="000000"/>
        </w:rPr>
        <w:t>five dollars.  However, the bondsman is permitted to accept collateral security or other indemnity from the principal which must be returned upon final termination of liability on the bond.  The bondsman shall identify who is paying the premium and shall represent that the collateral security or other indemnity has not been obtained from any person who has a greater interest in the principal</w:t>
      </w:r>
      <w:r w:rsidR="00E23C19" w:rsidRPr="00E23C19">
        <w:rPr>
          <w:color w:val="000000"/>
        </w:rPr>
        <w:t>’</w:t>
      </w:r>
      <w:r w:rsidRPr="0085379D">
        <w:rPr>
          <w:color w:val="000000"/>
        </w:rPr>
        <w:t xml:space="preserve">s disappearance than appearance for trial.  The collateral security or other indemnity required by the bondsman must be reasonable in relation to the amount of the bond; </w:t>
      </w: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40C97">
        <w:rPr>
          <w:strike/>
          <w:color w:val="000000"/>
        </w:rPr>
        <w:t>f</w:t>
      </w:r>
      <w:r>
        <w:rPr>
          <w:color w:val="000000"/>
          <w:u w:val="single"/>
        </w:rPr>
        <w:t>6</w:t>
      </w:r>
      <w:r>
        <w:rPr>
          <w:color w:val="000000"/>
        </w:rPr>
        <w:t>)</w:t>
      </w:r>
      <w:r>
        <w:rPr>
          <w:color w:val="000000"/>
        </w:rPr>
        <w:tab/>
      </w:r>
      <w:r w:rsidRPr="0085379D">
        <w:rPr>
          <w:color w:val="000000"/>
        </w:rPr>
        <w:t>solicit business in any of the courts or on the premises of any of the courts of this State, in the office of any magistrate, or in or about any place where prisoners are confined.  Law enforcement officers and jailers shall report any violations of this provision to the court.  Any action taken pursuant to this provision resulting in a conviction, guilty plea, or plea of nolo contendere pursuant to Section 38</w:t>
      </w:r>
      <w:r w:rsidR="00E23C19">
        <w:rPr>
          <w:color w:val="000000"/>
        </w:rPr>
        <w:noBreakHyphen/>
      </w:r>
      <w:r w:rsidRPr="0085379D">
        <w:rPr>
          <w:color w:val="000000"/>
        </w:rPr>
        <w:t>53</w:t>
      </w:r>
      <w:r w:rsidR="00E23C19">
        <w:rPr>
          <w:color w:val="000000"/>
        </w:rPr>
        <w:noBreakHyphen/>
      </w:r>
      <w:r w:rsidRPr="0085379D">
        <w:rPr>
          <w:color w:val="000000"/>
        </w:rPr>
        <w:t xml:space="preserve">340 must be reported to the director or his designee by the court within thirty days; </w:t>
      </w:r>
    </w:p>
    <w:p w:rsidR="00740C97"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t>(</w:t>
      </w:r>
      <w:r w:rsidRPr="00740C97">
        <w:rPr>
          <w:strike/>
          <w:color w:val="000000"/>
        </w:rPr>
        <w:t>g</w:t>
      </w:r>
      <w:r>
        <w:rPr>
          <w:color w:val="000000"/>
          <w:u w:val="single"/>
        </w:rPr>
        <w:t>7</w:t>
      </w:r>
      <w:r>
        <w:rPr>
          <w:color w:val="000000"/>
        </w:rPr>
        <w:t>)</w:t>
      </w:r>
      <w:r>
        <w:rPr>
          <w:color w:val="000000"/>
        </w:rPr>
        <w:tab/>
      </w:r>
      <w:r w:rsidRPr="0085379D">
        <w:rPr>
          <w:color w:val="000000"/>
        </w:rPr>
        <w:t>advise or assist the principal for the purpose of forfeiting bond</w:t>
      </w:r>
      <w:r>
        <w:rPr>
          <w:color w:val="000000"/>
          <w:u w:val="single"/>
        </w:rPr>
        <w:t>;</w:t>
      </w:r>
    </w:p>
    <w:p w:rsidR="00740C97" w:rsidRDefault="00E23C19"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3C19">
        <w:rPr>
          <w:color w:val="000000"/>
        </w:rPr>
        <w:tab/>
      </w:r>
      <w:r w:rsidR="00740C97">
        <w:rPr>
          <w:color w:val="000000"/>
          <w:u w:val="single"/>
        </w:rPr>
        <w:t>(8)</w:t>
      </w:r>
      <w:r w:rsidRPr="00E23C19">
        <w:rPr>
          <w:color w:val="000000"/>
        </w:rPr>
        <w:tab/>
      </w:r>
      <w:r w:rsidR="00740C97">
        <w:rPr>
          <w:color w:val="000000"/>
          <w:u w:val="single"/>
        </w:rPr>
        <w:t>make, publish, disseminate, circulate, or place before the public or cause, directly, or indirectly, to be made, published, disseminated, circulated, or placed before the public in a newspaper, magazine, signage, billboard, or other publication, in the form or notice, trade name, circular, pamphlet, letter</w:t>
      </w:r>
      <w:r>
        <w:rPr>
          <w:color w:val="000000"/>
          <w:u w:val="single"/>
        </w:rPr>
        <w:t>, poster, or over any radio station, television, or in any other way, an advertisement, announcement, or statement containing an assertion, representation, or statement with respect to any premiums, percentages, or fee offerings or any statement that is untrue, deceptive, or misleading</w:t>
      </w:r>
      <w:r w:rsidR="00740C97" w:rsidRPr="0085379D">
        <w:rPr>
          <w:color w:val="000000"/>
        </w:rPr>
        <w:t>.</w:t>
      </w:r>
      <w:r w:rsidR="00740C97">
        <w:rPr>
          <w:color w:val="000000"/>
        </w:rPr>
        <w:t>”</w:t>
      </w:r>
    </w:p>
    <w:p w:rsidR="00D45A58" w:rsidRDefault="00D45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3C19">
        <w:t>2</w:t>
      </w:r>
      <w:r>
        <w:t>.</w:t>
      </w:r>
      <w:r>
        <w:tab/>
        <w:t>This act takes effect upon approval by the Governor.</w:t>
      </w:r>
    </w:p>
    <w:p w:rsidR="00D72588" w:rsidRDefault="00E23C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2588" w:rsidRDefault="00D72588" w:rsidP="007E0CAA">
      <w:pPr>
        <w:suppressAutoHyphens/>
      </w:pPr>
    </w:p>
    <w:sectPr w:rsidR="00D72588" w:rsidSect="007E0C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C97" w:rsidRDefault="00740C97" w:rsidP="009F0C77">
      <w:r>
        <w:separator/>
      </w:r>
    </w:p>
  </w:endnote>
  <w:endnote w:type="continuationSeparator" w:id="0">
    <w:p w:rsidR="00740C97" w:rsidRDefault="00740C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8A0763-88C9-4695-A1D1-E67AABA9B460}"/>
    <w:embedBold r:id="rId2" w:fontKey="{7FE919FE-EBD3-457A-8E64-3C403A516907}"/>
  </w:font>
  <w:font w:name="Calibri">
    <w:panose1 w:val="020F0502020204030204"/>
    <w:charset w:val="00"/>
    <w:family w:val="swiss"/>
    <w:pitch w:val="variable"/>
    <w:sig w:usb0="E10002FF" w:usb1="4000ACFF" w:usb2="00000009" w:usb3="00000000" w:csb0="0000019F" w:csb1="00000000"/>
    <w:embedRegular r:id="rId3" w:fontKey="{2FF4CF34-E3B8-4B78-8E09-ED49FD4393A3}"/>
  </w:font>
  <w:font w:name="Tahoma">
    <w:panose1 w:val="020B0604030504040204"/>
    <w:charset w:val="00"/>
    <w:family w:val="swiss"/>
    <w:pitch w:val="variable"/>
    <w:sig w:usb0="21002A87" w:usb1="80000000" w:usb2="00000008" w:usb3="00000000" w:csb0="000101FF" w:csb1="00000000"/>
    <w:embedRegular r:id="rId4" w:fontKey="{E44DF7D3-555C-4E89-8A74-64B493735303}"/>
  </w:font>
  <w:font w:name="Cambria">
    <w:panose1 w:val="02040503050406030204"/>
    <w:charset w:val="00"/>
    <w:family w:val="roman"/>
    <w:pitch w:val="variable"/>
    <w:sig w:usb0="E00002FF" w:usb1="400004FF" w:usb2="00000000" w:usb3="00000000" w:csb0="0000019F" w:csb1="00000000"/>
    <w:embedRegular r:id="rId5" w:fontKey="{EA57625D-BD31-46E6-8A25-9D3E5D79D7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CAA" w:rsidRPr="00D72588" w:rsidRDefault="007E0CAA" w:rsidP="00D72588">
    <w:pPr>
      <w:pStyle w:val="Footer"/>
      <w:tabs>
        <w:tab w:val="clear" w:pos="4680"/>
        <w:tab w:val="clear" w:pos="9360"/>
        <w:tab w:val="center" w:pos="2995"/>
      </w:tabs>
      <w:spacing w:before="120"/>
    </w:pPr>
    <w:r>
      <w:t>[5054]</w:t>
    </w:r>
    <w:r>
      <w:tab/>
    </w:r>
    <w:r w:rsidR="00507C09">
      <w:fldChar w:fldCharType="begin"/>
    </w:r>
    <w:r w:rsidR="00507C09">
      <w:instrText xml:space="preserve"> PAGE  \* MERGEFORMAT </w:instrText>
    </w:r>
    <w:r w:rsidR="00507C09">
      <w:fldChar w:fldCharType="separate"/>
    </w:r>
    <w:r w:rsidR="00507C09">
      <w:rPr>
        <w:noProof/>
      </w:rPr>
      <w:t>1</w:t>
    </w:r>
    <w:r w:rsidR="00507C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C97" w:rsidRDefault="00740C97" w:rsidP="009F0C77">
      <w:r>
        <w:separator/>
      </w:r>
    </w:p>
  </w:footnote>
  <w:footnote w:type="continuationSeparator" w:id="0">
    <w:p w:rsidR="00740C97" w:rsidRDefault="00740C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63AB12"/>
    <w:docVar w:name="CoverBillType" w:val="b"/>
    <w:docVar w:name="docpath" w:val="L:\Council\bills\AGM\19463AB12.DOCX"/>
    <w:docVar w:name="dvBillNumber" w:val="5054"/>
    <w:docVar w:name="dvBillNumberPrefix" w:val="H. "/>
    <w:docVar w:name="dvOriginalBody" w:val="House"/>
    <w:docVar w:name="dvSteno" w:val="AGM"/>
    <w:docVar w:name="NameofBody" w:val="h"/>
    <w:docVar w:name="vgroup2" w:val="Council"/>
  </w:docVars>
  <w:rsids>
    <w:rsidRoot w:val="00A27897"/>
    <w:rsid w:val="00011869"/>
    <w:rsid w:val="000E1785"/>
    <w:rsid w:val="000F2F1F"/>
    <w:rsid w:val="000F40FA"/>
    <w:rsid w:val="0010776B"/>
    <w:rsid w:val="00133E66"/>
    <w:rsid w:val="001435A3"/>
    <w:rsid w:val="001D08F2"/>
    <w:rsid w:val="001D525B"/>
    <w:rsid w:val="001D7F4F"/>
    <w:rsid w:val="00221DD2"/>
    <w:rsid w:val="002321B6"/>
    <w:rsid w:val="00250967"/>
    <w:rsid w:val="002543C8"/>
    <w:rsid w:val="00257EC7"/>
    <w:rsid w:val="00284AAE"/>
    <w:rsid w:val="002E5912"/>
    <w:rsid w:val="00325348"/>
    <w:rsid w:val="0032732C"/>
    <w:rsid w:val="00336AD0"/>
    <w:rsid w:val="0037079A"/>
    <w:rsid w:val="003D01E8"/>
    <w:rsid w:val="003E5288"/>
    <w:rsid w:val="003F6D79"/>
    <w:rsid w:val="0041760A"/>
    <w:rsid w:val="00417C01"/>
    <w:rsid w:val="004809EE"/>
    <w:rsid w:val="0049044B"/>
    <w:rsid w:val="004E7D54"/>
    <w:rsid w:val="00507C09"/>
    <w:rsid w:val="005273C6"/>
    <w:rsid w:val="00527700"/>
    <w:rsid w:val="00530A69"/>
    <w:rsid w:val="00545593"/>
    <w:rsid w:val="00577C6C"/>
    <w:rsid w:val="00585730"/>
    <w:rsid w:val="005C2FE2"/>
    <w:rsid w:val="005E2BC9"/>
    <w:rsid w:val="00605102"/>
    <w:rsid w:val="006215AA"/>
    <w:rsid w:val="006913C9"/>
    <w:rsid w:val="0069470D"/>
    <w:rsid w:val="006E4F03"/>
    <w:rsid w:val="00734F00"/>
    <w:rsid w:val="00740B73"/>
    <w:rsid w:val="00740C97"/>
    <w:rsid w:val="00781569"/>
    <w:rsid w:val="00796215"/>
    <w:rsid w:val="007A70AE"/>
    <w:rsid w:val="007E0CAA"/>
    <w:rsid w:val="00816AC9"/>
    <w:rsid w:val="008362E8"/>
    <w:rsid w:val="008A1768"/>
    <w:rsid w:val="008F4429"/>
    <w:rsid w:val="00910F7D"/>
    <w:rsid w:val="0094021A"/>
    <w:rsid w:val="009C6A0B"/>
    <w:rsid w:val="009F0C77"/>
    <w:rsid w:val="009F4DD1"/>
    <w:rsid w:val="00A27897"/>
    <w:rsid w:val="00A33182"/>
    <w:rsid w:val="00A41684"/>
    <w:rsid w:val="00A64E80"/>
    <w:rsid w:val="00A72BCD"/>
    <w:rsid w:val="00A741D9"/>
    <w:rsid w:val="00A833AB"/>
    <w:rsid w:val="00A9741D"/>
    <w:rsid w:val="00AD4B17"/>
    <w:rsid w:val="00B412D4"/>
    <w:rsid w:val="00BE3C22"/>
    <w:rsid w:val="00C0345E"/>
    <w:rsid w:val="00C3483A"/>
    <w:rsid w:val="00C74E9D"/>
    <w:rsid w:val="00C76F39"/>
    <w:rsid w:val="00C82FD3"/>
    <w:rsid w:val="00C92819"/>
    <w:rsid w:val="00CC6B7B"/>
    <w:rsid w:val="00CD2089"/>
    <w:rsid w:val="00CD2FD3"/>
    <w:rsid w:val="00D45A58"/>
    <w:rsid w:val="00D6249B"/>
    <w:rsid w:val="00D72588"/>
    <w:rsid w:val="00D73A67"/>
    <w:rsid w:val="00D970A9"/>
    <w:rsid w:val="00DF3845"/>
    <w:rsid w:val="00E23C19"/>
    <w:rsid w:val="00E41911"/>
    <w:rsid w:val="00E752A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CB09F3-C67A-448B-BC89-1716FDDF8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3C19"/>
    <w:rPr>
      <w:rFonts w:ascii="Tahoma" w:hAnsi="Tahoma" w:cs="Tahoma"/>
      <w:sz w:val="16"/>
      <w:szCs w:val="16"/>
    </w:rPr>
  </w:style>
  <w:style w:type="character" w:customStyle="1" w:styleId="BalloonTextChar">
    <w:name w:val="Balloon Text Char"/>
    <w:basedOn w:val="DefaultParagraphFont"/>
    <w:link w:val="BalloonText"/>
    <w:uiPriority w:val="99"/>
    <w:semiHidden/>
    <w:rsid w:val="00E23C19"/>
    <w:rPr>
      <w:rFonts w:ascii="Tahoma" w:eastAsia="Times New Roman" w:hAnsi="Tahoma" w:cs="Tahoma"/>
      <w:sz w:val="16"/>
      <w:szCs w:val="16"/>
    </w:rPr>
  </w:style>
  <w:style w:type="character" w:styleId="Hyperlink">
    <w:name w:val="Hyperlink"/>
    <w:basedOn w:val="DefaultParagraphFont"/>
    <w:uiPriority w:val="99"/>
    <w:unhideWhenUsed/>
    <w:rsid w:val="007E0C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1-12.docx" TargetMode="External"/><Relationship Id="rId3" Type="http://schemas.openxmlformats.org/officeDocument/2006/relationships/settings" Target="settings.xml"/><Relationship Id="rId7" Type="http://schemas.openxmlformats.org/officeDocument/2006/relationships/hyperlink" Target="file:///h:\hj%20archive\2012\03-2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54_2012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56DF1-7B42-44C3-B8F1-8C94E8A8E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656</Words>
  <Characters>3386</Characters>
  <Application>Microsoft Office Word</Application>
  <DocSecurity>4</DocSecurity>
  <Lines>106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5054: Bail bondsmen or runners - South Carolina Legislature Online</dc:title>
  <dc:subject/>
  <dc:creator>angiemorgan</dc:creator>
  <cp:keywords/>
  <dc:description/>
  <cp:lastModifiedBy>N Cumfer</cp:lastModifiedBy>
  <cp:revision>2</cp:revision>
  <cp:lastPrinted>2012-02-27T19:27:00Z</cp:lastPrinted>
  <dcterms:created xsi:type="dcterms:W3CDTF">2014-11-24T14:55:00Z</dcterms:created>
  <dcterms:modified xsi:type="dcterms:W3CDTF">2014-11-24T14:55:00Z</dcterms:modified>
</cp:coreProperties>
</file>