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32DD" w:rsidRP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F49" w:rsidRDefault="009F6F49" w:rsidP="002932DD">
      <w:pPr>
        <w:tabs>
          <w:tab w:val="right" w:pos="5933"/>
        </w:tabs>
        <w:suppressAutoHyphens/>
        <w:jc w:val="both"/>
        <w:rPr>
          <w:rFonts w:eastAsia="Times New Roman"/>
        </w:rPr>
      </w:pPr>
      <w:r>
        <w:rPr>
          <w:rFonts w:eastAsia="Times New Roman"/>
        </w:rPr>
        <w:t>CONFERENCE COMMITTEE REPORT ADOPTED -- NOT PRINTED</w:t>
      </w:r>
    </w:p>
    <w:p w:rsidR="009F6F49" w:rsidRDefault="009F6F49" w:rsidP="002932DD">
      <w:pPr>
        <w:tabs>
          <w:tab w:val="right" w:pos="5933"/>
        </w:tabs>
        <w:suppressAutoHyphens/>
        <w:jc w:val="both"/>
        <w:rPr>
          <w:rFonts w:eastAsia="Times New Roman"/>
        </w:rPr>
      </w:pPr>
      <w:r>
        <w:rPr>
          <w:rFonts w:eastAsia="Times New Roman"/>
        </w:rPr>
        <w:t>June 22, 2011</w:t>
      </w:r>
    </w:p>
    <w:p w:rsidR="009F6F49" w:rsidRDefault="009F6F49" w:rsidP="002932DD">
      <w:pPr>
        <w:tabs>
          <w:tab w:val="right" w:pos="5933"/>
        </w:tabs>
        <w:suppressAutoHyphens/>
        <w:jc w:val="both"/>
        <w:rPr>
          <w:rFonts w:eastAsia="Times New Roman"/>
        </w:rPr>
      </w:pPr>
    </w:p>
    <w:p w:rsidR="002932DD" w:rsidRPr="002932DD" w:rsidRDefault="002932DD" w:rsidP="002932DD">
      <w:pPr>
        <w:tabs>
          <w:tab w:val="right" w:pos="5933"/>
        </w:tabs>
        <w:suppressAutoHyphens/>
        <w:jc w:val="both"/>
        <w:rPr>
          <w:rFonts w:eastAsia="Times New Roman"/>
        </w:rPr>
      </w:pPr>
      <w:r>
        <w:rPr>
          <w:rFonts w:eastAsia="Times New Roman"/>
        </w:rPr>
        <w:tab/>
      </w:r>
      <w:r>
        <w:rPr>
          <w:rFonts w:eastAsia="Times New Roman"/>
          <w:b/>
          <w:sz w:val="36"/>
        </w:rPr>
        <w:t>S. 30</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Leventis and Ford</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2DD" w:rsidRDefault="00C8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6/1/11--S</w:t>
      </w:r>
      <w:r w:rsidR="002932DD">
        <w:rPr>
          <w:rFonts w:eastAsia="Times New Roman"/>
        </w:rPr>
        <w:t>.</w:t>
      </w:r>
    </w:p>
    <w:p w:rsidR="002932DD" w:rsidRDefault="00C8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w:t>
      </w:r>
      <w:r w:rsidR="002932DD">
        <w:rPr>
          <w:rFonts w:eastAsia="Times New Roman"/>
        </w:rPr>
        <w:t>, 2011.</w:t>
      </w:r>
    </w:p>
    <w:p w:rsidR="002932DD" w:rsidRP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358F" w:rsidSect="00C3358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203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Default="009F6F49"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CODE OF LAWS OF SOUTH CAROLINA, 1976, RELATED TO MAGISTRATES</w:t>
      </w:r>
      <w:r>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r w:rsidR="005A5563">
        <w:rPr>
          <w:rFonts w:eastAsia="Calibri"/>
          <w:color w:val="000000"/>
          <w:u w:color="000000"/>
        </w:rPr>
        <w:t>.</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Times New Roman"/>
        </w:rPr>
        <w:t>SECTION</w:t>
      </w:r>
      <w:r w:rsidRPr="00F20062">
        <w:rPr>
          <w:rFonts w:eastAsia="Times New Roman"/>
        </w:rPr>
        <w:tab/>
        <w:t>1.</w:t>
      </w:r>
      <w:r w:rsidRPr="00F20062">
        <w:rPr>
          <w:rFonts w:eastAsia="Times New Roman"/>
        </w:rPr>
        <w:tab/>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 of the 1976 Code is amended to read:</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110.(A)</w:t>
      </w:r>
      <w:r w:rsidRPr="00F20062">
        <w:rPr>
          <w:rFonts w:eastAsia="Calibri"/>
          <w:color w:val="000000"/>
          <w:u w:color="000000"/>
        </w:rPr>
        <w:tab/>
      </w:r>
      <w:r>
        <w:rPr>
          <w:rFonts w:eastAsia="Calibri"/>
          <w:color w:val="000000"/>
          <w:u w:color="000000"/>
        </w:rPr>
        <w:tab/>
        <w:t>M</w:t>
      </w:r>
      <w:r w:rsidRPr="00F20062">
        <w:rPr>
          <w:rFonts w:eastAsia="Calibri"/>
          <w:color w:val="000000"/>
          <w:u w:color="000000"/>
        </w:rPr>
        <w:t>agistrates shall</w:t>
      </w:r>
      <w:r w:rsidRPr="00F20062">
        <w:rPr>
          <w:rFonts w:eastAsia="Calibri"/>
          <w:color w:val="000000"/>
          <w:u w:val="single"/>
        </w:rPr>
        <w:t>:</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sidRPr="005E5117">
        <w:rPr>
          <w:rFonts w:eastAsia="Calibri"/>
          <w:color w:val="000000"/>
          <w:u w:color="000000"/>
        </w:rPr>
        <w:t xml:space="preserve"> </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sidRPr="005E5117">
        <w:rPr>
          <w:rFonts w:eastAsia="Calibri"/>
          <w:color w:val="000000"/>
          <w:u w:color="000000"/>
        </w:rPr>
        <w:t xml:space="preserve"> </w:t>
      </w:r>
      <w:r w:rsidRPr="00F20062">
        <w:rPr>
          <w:rFonts w:eastAsia="Calibri"/>
          <w:color w:val="000000"/>
          <w:u w:val="single"/>
        </w:rPr>
        <w:t>the county;</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9F6F49" w:rsidRPr="00F20062"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9F6F49" w:rsidRPr="00ED44C1"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20062">
        <w:rPr>
          <w:rFonts w:eastAsia="Calibri"/>
          <w:color w:val="000000"/>
          <w:u w:color="000000"/>
        </w:rPr>
        <w:tab/>
      </w:r>
      <w:r w:rsidRPr="00ED44C1">
        <w:rPr>
          <w:rFonts w:eastAsia="Times New Roman"/>
          <w:strike/>
          <w:szCs w:val="20"/>
        </w:rPr>
        <w:t>(B)</w:t>
      </w:r>
      <w:r w:rsidRPr="00365043">
        <w:rPr>
          <w:rFonts w:eastAsia="Times New Roman"/>
          <w:szCs w:val="20"/>
        </w:rPr>
        <w:tab/>
      </w:r>
      <w:r w:rsidRPr="00ED44C1">
        <w:rPr>
          <w:rFonts w:eastAsia="Times New Roman"/>
          <w:strike/>
          <w:szCs w:val="20"/>
        </w:rPr>
        <w:t>Notwithstanding another provision of law, a person charged with any misdemeanor offense requiring a warrant signed by nonlaw enforcement personnel to ensure the arrest of a person must be given a courtesy summons.</w:t>
      </w:r>
    </w:p>
    <w:p w:rsidR="009F6F49" w:rsidRPr="00ED44C1"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D44C1">
        <w:rPr>
          <w:rFonts w:eastAsia="Times New Roman"/>
          <w:szCs w:val="20"/>
        </w:rPr>
        <w:tab/>
      </w:r>
      <w:r w:rsidRPr="00ED44C1">
        <w:rPr>
          <w:rFonts w:eastAsia="Times New Roman"/>
          <w:szCs w:val="20"/>
          <w:u w:val="single"/>
        </w:rPr>
        <w:t>(B)(1)</w:t>
      </w:r>
      <w:r w:rsidRPr="00ED44C1">
        <w:rPr>
          <w:rFonts w:eastAsia="Times New Roman"/>
          <w:szCs w:val="20"/>
        </w:rPr>
        <w:tab/>
      </w:r>
      <w:r w:rsidRPr="00ED44C1">
        <w:rPr>
          <w:rFonts w:eastAsia="Times New Roman"/>
          <w:szCs w:val="20"/>
          <w:u w:val="single"/>
        </w:rPr>
        <w:t>An arrest warrant may not be issued for the arrest of a person unless sought by a law enforcement officer acting in their official capacity.</w:t>
      </w:r>
    </w:p>
    <w:p w:rsidR="009F6F49" w:rsidRPr="00ED44C1"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D44C1">
        <w:rPr>
          <w:rFonts w:eastAsia="Times New Roman"/>
          <w:szCs w:val="20"/>
        </w:rPr>
        <w:tab/>
      </w:r>
      <w:r w:rsidRPr="00ED44C1">
        <w:rPr>
          <w:rFonts w:eastAsia="Times New Roman"/>
          <w:szCs w:val="20"/>
        </w:rPr>
        <w:tab/>
      </w:r>
      <w:r w:rsidRPr="00ED44C1">
        <w:rPr>
          <w:rFonts w:eastAsia="Times New Roman"/>
          <w:szCs w:val="20"/>
          <w:u w:val="single"/>
        </w:rPr>
        <w:t>(2)</w:t>
      </w:r>
      <w:r w:rsidRPr="00ED44C1">
        <w:rPr>
          <w:rFonts w:eastAsia="Times New Roman"/>
          <w:szCs w:val="20"/>
        </w:rPr>
        <w:tab/>
      </w:r>
      <w:r w:rsidRPr="00ED44C1">
        <w:rPr>
          <w:rFonts w:eastAsia="Times New Roman"/>
          <w:szCs w:val="20"/>
          <w:u w:val="single"/>
        </w:rPr>
        <w:t>If an arrest warrant is sought by someone other than a law enforcement officer, the court must issue a courtesy summons.</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D44C1">
        <w:rPr>
          <w:rFonts w:eastAsia="Times New Roman"/>
          <w:szCs w:val="20"/>
        </w:rPr>
        <w:tab/>
      </w:r>
      <w:r w:rsidRPr="00ED44C1">
        <w:rPr>
          <w:rFonts w:eastAsia="Times New Roman"/>
          <w:szCs w:val="20"/>
        </w:rPr>
        <w:tab/>
      </w:r>
      <w:r w:rsidRPr="00ED44C1">
        <w:rPr>
          <w:rFonts w:eastAsia="Times New Roman"/>
          <w:szCs w:val="20"/>
          <w:u w:val="single"/>
        </w:rPr>
        <w:t>(3)</w:t>
      </w:r>
      <w:r w:rsidRPr="00ED44C1">
        <w:rPr>
          <w:rFonts w:eastAsia="Times New Roman"/>
          <w:szCs w:val="20"/>
        </w:rPr>
        <w:tab/>
      </w:r>
      <w:r w:rsidRPr="00ED44C1">
        <w:rPr>
          <w:rFonts w:eastAsia="Times New Roman"/>
          <w:szCs w:val="20"/>
          <w:u w:val="single"/>
        </w:rPr>
        <w:t>If a defendant named in a courtesy summons fails to appear before the court pursuant to the summons, the court must issue an arrest warrant for the underlying offense based upon the original sworn statement of the affiant who sought the courtesy summons, provided the sworn statement establishes probable cause that the underlying offense was committed.</w:t>
      </w:r>
      <w:r w:rsidRPr="00ED44C1">
        <w:rPr>
          <w:rFonts w:eastAsia="Times New Roman"/>
          <w:szCs w:val="20"/>
        </w:rPr>
        <w:t>”</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Calibri"/>
          <w:color w:val="000000"/>
          <w:u w:color="000000"/>
        </w:rPr>
        <w:t>SECTION</w:t>
      </w:r>
      <w:r>
        <w:rPr>
          <w:rFonts w:eastAsia="Calibri"/>
          <w:color w:val="000000"/>
          <w:u w:color="000000"/>
        </w:rPr>
        <w:tab/>
      </w:r>
      <w:r>
        <w:t>2.</w:t>
      </w:r>
      <w:r>
        <w:tab/>
        <w:t>The first sentence of Section 22-1-10(A) of the 1976 Code is amended to read:</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1776">
        <w:tab/>
        <w:t>“Section 22-1-10(A).</w:t>
      </w:r>
      <w:r w:rsidRPr="00B81776">
        <w:tab/>
      </w:r>
      <w:r>
        <w:tab/>
      </w:r>
      <w:r w:rsidRPr="00B81776">
        <w:t>The Govern</w:t>
      </w:r>
      <w:r w:rsidRPr="005F35C3">
        <w:t>or, by and with the advice and consent of the Senate, may appoint magistrates in each county of the State for a term of four years and until their successors are appointed and qualified</w:t>
      </w:r>
      <w:r>
        <w:rPr>
          <w:u w:val="single"/>
        </w:rPr>
        <w:t>, or their positions are terminated as provided in subsection (B), Section 22-1-30, or Section 22-2-40</w:t>
      </w:r>
      <w:r w:rsidRPr="005F35C3">
        <w:t>.</w:t>
      </w:r>
      <w:r>
        <w:t>”</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SECTION</w:t>
      </w:r>
      <w:r>
        <w:tab/>
      </w:r>
      <w:r>
        <w:rPr>
          <w:rFonts w:eastAsia="Times New Roman"/>
          <w:snapToGrid w:val="0"/>
          <w:szCs w:val="20"/>
        </w:rPr>
        <w:t>3.</w:t>
      </w:r>
      <w:r>
        <w:rPr>
          <w:rFonts w:eastAsia="Times New Roman"/>
          <w:snapToGrid w:val="0"/>
          <w:szCs w:val="20"/>
        </w:rPr>
        <w:tab/>
      </w:r>
      <w:r w:rsidRPr="00CF07AD">
        <w:rPr>
          <w:rFonts w:eastAsia="Times New Roman"/>
          <w:snapToGrid w:val="0"/>
          <w:szCs w:val="20"/>
        </w:rPr>
        <w:t>Section 22</w:t>
      </w:r>
      <w:r w:rsidRPr="00CF07AD">
        <w:rPr>
          <w:rFonts w:eastAsia="Times New Roman"/>
          <w:snapToGrid w:val="0"/>
          <w:szCs w:val="20"/>
        </w:rPr>
        <w:noBreakHyphen/>
        <w:t>1</w:t>
      </w:r>
      <w:r w:rsidRPr="00CF07AD">
        <w:rPr>
          <w:rFonts w:eastAsia="Times New Roman"/>
          <w:snapToGrid w:val="0"/>
          <w:szCs w:val="20"/>
        </w:rPr>
        <w:noBreakHyphen/>
        <w:t>30 of the 1976 Code is amended to read:</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F6F49" w:rsidRPr="00CF07AD"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22-1-30.</w:t>
      </w:r>
      <w:r w:rsidRPr="00CF07AD">
        <w:rPr>
          <w:rFonts w:eastAsia="Times New Roman"/>
          <w:snapToGrid w:val="0"/>
          <w:szCs w:val="20"/>
          <w:u w:val="single"/>
        </w:rPr>
        <w:t>(A)</w:t>
      </w:r>
      <w:r w:rsidRPr="00CF07AD">
        <w:rPr>
          <w:rFonts w:eastAsia="Times New Roman"/>
          <w:snapToGrid w:val="0"/>
          <w:szCs w:val="20"/>
        </w:rPr>
        <w:tab/>
      </w:r>
      <w:r>
        <w:rPr>
          <w:rFonts w:eastAsia="Times New Roman"/>
          <w:snapToGrid w:val="0"/>
          <w:szCs w:val="20"/>
        </w:rPr>
        <w:tab/>
      </w:r>
      <w:r w:rsidRPr="00CF07AD">
        <w:rPr>
          <w:rFonts w:eastAsia="Times New Roman"/>
          <w:snapToGrid w:val="0"/>
          <w:szCs w:val="20"/>
        </w:rPr>
        <w:t>A magistrate may be suspended or removed by order of the Supreme Court pursuant to its rules for incapacity, misconduct, or neglect of duty.  A magistrate’s failure to retire in accordance with Section 22</w:t>
      </w:r>
      <w:r w:rsidRPr="00CF07AD">
        <w:rPr>
          <w:rFonts w:eastAsia="Times New Roman"/>
          <w:snapToGrid w:val="0"/>
          <w:szCs w:val="20"/>
        </w:rPr>
        <w:noBreakHyphen/>
        <w:t>1</w:t>
      </w:r>
      <w:r w:rsidRPr="00CF07AD">
        <w:rPr>
          <w:rFonts w:eastAsia="Times New Roman"/>
          <w:snapToGrid w:val="0"/>
          <w:szCs w:val="20"/>
        </w:rPr>
        <w:noBreakHyphen/>
        <w:t>25 or a magistrate’s failure to comply with the training and examination requirements of Section 22</w:t>
      </w:r>
      <w:r w:rsidRPr="00CF07AD">
        <w:rPr>
          <w:rFonts w:eastAsia="Times New Roman"/>
          <w:snapToGrid w:val="0"/>
          <w:szCs w:val="20"/>
        </w:rPr>
        <w:noBreakHyphen/>
        <w:t>1</w:t>
      </w:r>
      <w:r w:rsidRPr="00CF07AD">
        <w:rPr>
          <w:rFonts w:eastAsia="Times New Roman"/>
          <w:snapToGrid w:val="0"/>
          <w:szCs w:val="20"/>
        </w:rPr>
        <w:noBreakHyphen/>
        <w:t>10(C) may subject the magistrate to suspension or removal by order of the Supreme Court.</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07AD">
        <w:rPr>
          <w:rFonts w:eastAsia="Times New Roman"/>
          <w:snapToGrid w:val="0"/>
          <w:szCs w:val="20"/>
        </w:rPr>
        <w:tab/>
      </w:r>
      <w:r w:rsidRPr="00CF07AD">
        <w:rPr>
          <w:rFonts w:eastAsia="Times New Roman"/>
          <w:snapToGrid w:val="0"/>
          <w:szCs w:val="20"/>
          <w:u w:val="single"/>
        </w:rPr>
        <w:t>(B)</w:t>
      </w:r>
      <w:r w:rsidRPr="00CF07AD">
        <w:rPr>
          <w:rFonts w:eastAsia="Times New Roman"/>
          <w:snapToGrid w:val="0"/>
          <w:szCs w:val="20"/>
        </w:rPr>
        <w:tab/>
      </w:r>
      <w:r w:rsidRPr="00CF07AD">
        <w:rPr>
          <w:rFonts w:eastAsia="Times New Roman"/>
          <w:snapToGrid w:val="0"/>
          <w:szCs w:val="20"/>
          <w:u w:val="single"/>
        </w:rPr>
        <w:t>If a senatorial delegation recommends that the Governor not reappoint a magistrate upon completion of his term of office</w:t>
      </w:r>
      <w:r>
        <w:rPr>
          <w:rFonts w:eastAsia="Times New Roman"/>
          <w:snapToGrid w:val="0"/>
          <w:szCs w:val="20"/>
          <w:u w:val="single"/>
        </w:rPr>
        <w:t xml:space="preserve">, the Governor may </w:t>
      </w:r>
      <w:r w:rsidRPr="00CF07AD">
        <w:rPr>
          <w:rFonts w:eastAsia="Times New Roman"/>
          <w:snapToGrid w:val="0"/>
          <w:szCs w:val="20"/>
          <w:u w:val="single"/>
        </w:rPr>
        <w:t xml:space="preserve">send a message to the Senate that the magistrate is not reappointed.  Upon receipt of the message, the Senate must </w:t>
      </w:r>
      <w:r w:rsidRPr="00CF07AD">
        <w:rPr>
          <w:rFonts w:eastAsia="Times New Roman"/>
          <w:snapToGrid w:val="0"/>
          <w:szCs w:val="20"/>
          <w:u w:val="single"/>
        </w:rPr>
        <w:lastRenderedPageBreak/>
        <w:t>ratify the message not to reappoint by the confirmation process.  If the ratification takes place, the magistrate’s service is terminated at the end of his term and the magistrate does not continue to serve until a successor is appointed.  Notice of the ratification must be sent to the Supreme Court.</w:t>
      </w:r>
      <w:r w:rsidRPr="00CF07AD">
        <w:rPr>
          <w:rFonts w:eastAsia="Times New Roman"/>
          <w:snapToGrid w:val="0"/>
          <w:szCs w:val="20"/>
        </w:rPr>
        <w:t>”</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Pr="00CF07AD">
        <w:rPr>
          <w:rFonts w:eastAsia="Times New Roman"/>
          <w:snapToGrid w:val="0"/>
          <w:szCs w:val="20"/>
        </w:rPr>
        <w:t>.</w:t>
      </w:r>
      <w:r w:rsidRPr="00CF07AD">
        <w:rPr>
          <w:rFonts w:eastAsia="Times New Roman"/>
          <w:snapToGrid w:val="0"/>
          <w:szCs w:val="20"/>
        </w:rPr>
        <w:tab/>
      </w:r>
      <w:r>
        <w:rPr>
          <w:rFonts w:eastAsia="Times New Roman"/>
          <w:snapToGrid w:val="0"/>
          <w:szCs w:val="20"/>
        </w:rPr>
        <w:t>Section 22-2-40(C) of the 1976 Code is amended to read:</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F07AD">
        <w:rPr>
          <w:bCs/>
        </w:rPr>
        <w:tab/>
      </w:r>
      <w:r>
        <w:rPr>
          <w:bCs/>
        </w:rPr>
        <w:t>“</w:t>
      </w:r>
      <w:r w:rsidRPr="00CF07AD">
        <w:t>(C)</w:t>
      </w:r>
      <w:r>
        <w:tab/>
      </w:r>
      <w:r w:rsidRPr="00CF07AD">
        <w:t>Notwithstanding the provisions of subsection (A), Section 22</w:t>
      </w:r>
      <w:r w:rsidRPr="00CF07AD">
        <w:noBreakHyphen/>
        <w:t>1</w:t>
      </w:r>
      <w:r w:rsidRPr="00CF07AD">
        <w:noBreakHyphen/>
        <w:t>10(A), or Section 22</w:t>
      </w:r>
      <w:r w:rsidRPr="00CF07AD">
        <w:noBreakHyphen/>
        <w:t>8</w:t>
      </w:r>
      <w:r w:rsidRPr="00CF07AD">
        <w:noBreakHyphen/>
        <w:t>40(C) and (D), the number, location, and full</w:t>
      </w:r>
      <w:r w:rsidRPr="00CF07AD">
        <w:noBreakHyphen/>
        <w:t>time or part</w:t>
      </w:r>
      <w:r w:rsidRPr="00CF07AD">
        <w:noBreakHyphen/>
        <w:t>time status of magistrates in the county may be increased or decreased from the required and permissive provision</w:t>
      </w:r>
      <w:r>
        <w:t>s in Section 22</w:t>
      </w:r>
      <w:r>
        <w:noBreakHyphen/>
        <w:t>8</w:t>
      </w:r>
      <w:r>
        <w:noBreakHyphen/>
        <w:t>40(C) and (D)</w:t>
      </w:r>
      <w:r w:rsidRPr="00B81776">
        <w:t xml:space="preserve"> </w:t>
      </w:r>
      <w:r w:rsidRPr="00B81776">
        <w:rPr>
          <w:bCs/>
          <w:u w:val="single"/>
        </w:rPr>
        <w:t>a</w:t>
      </w:r>
      <w:r w:rsidRPr="00CF07AD">
        <w:rPr>
          <w:bCs/>
          <w:u w:val="single"/>
        </w:rPr>
        <w:t>s provided in Section 22-1-30(B), or</w:t>
      </w:r>
      <w:r w:rsidRPr="0048132E">
        <w:rPr>
          <w:bCs/>
        </w:rPr>
        <w:t xml:space="preserve"> </w:t>
      </w:r>
      <w:r w:rsidRPr="00CF07AD">
        <w:t>by filing with court administration a written agreement between the members of the Senate delegation for the county and the county governing body; however, a magistrate’s compensation must not be decreased during his term in office.”</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5563"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rsidR="00642097">
        <w:tab/>
      </w:r>
      <w:r>
        <w:rPr>
          <w:rFonts w:eastAsia="Times New Roman"/>
        </w:rPr>
        <w:t>5</w:t>
      </w:r>
      <w:r w:rsidRPr="00DE4015">
        <w:rPr>
          <w:rFonts w:eastAsia="Times New Roman"/>
        </w:rPr>
        <w:t>.</w:t>
      </w:r>
      <w:r w:rsidRPr="00DE4015">
        <w:rPr>
          <w:rFonts w:eastAsia="Times New Roman"/>
        </w:rPr>
        <w:tab/>
        <w:t>This act takes effect upon approval by the Governor.</w:t>
      </w:r>
    </w:p>
    <w:p w:rsidR="009F6F49" w:rsidRDefault="009F6F49" w:rsidP="009F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F49" w:rsidRDefault="009F6F49" w:rsidP="009F6F49">
      <w:pPr>
        <w:pStyle w:val="ConSign"/>
        <w:tabs>
          <w:tab w:val="clear" w:pos="216"/>
          <w:tab w:val="clear" w:pos="4680"/>
          <w:tab w:val="clear" w:pos="4896"/>
          <w:tab w:val="left" w:pos="187"/>
          <w:tab w:val="left" w:pos="3240"/>
          <w:tab w:val="left" w:pos="3427"/>
        </w:tabs>
        <w:spacing w:line="240" w:lineRule="auto"/>
      </w:pPr>
      <w:r>
        <w:t>/s/Sen. C. Bradley Hutto</w:t>
      </w:r>
      <w:r>
        <w:tab/>
        <w:t>/s/Rep. Bruce W. Bannister</w:t>
      </w:r>
    </w:p>
    <w:p w:rsidR="009F6F49" w:rsidRDefault="009F6F49" w:rsidP="009F6F49">
      <w:pPr>
        <w:pStyle w:val="ConSign"/>
        <w:tabs>
          <w:tab w:val="clear" w:pos="216"/>
          <w:tab w:val="clear" w:pos="4680"/>
          <w:tab w:val="clear" w:pos="4896"/>
          <w:tab w:val="left" w:pos="187"/>
          <w:tab w:val="left" w:pos="3240"/>
          <w:tab w:val="left" w:pos="3427"/>
        </w:tabs>
        <w:spacing w:line="240" w:lineRule="auto"/>
      </w:pPr>
      <w:r>
        <w:t>/s/Sen. A. Shane Massey</w:t>
      </w:r>
      <w:r>
        <w:tab/>
        <w:t>/s/Rep. J. Todd Rutherford</w:t>
      </w:r>
    </w:p>
    <w:p w:rsidR="009F6F49" w:rsidRDefault="009F6F49" w:rsidP="009F6F49">
      <w:pPr>
        <w:pStyle w:val="ConSign"/>
        <w:tabs>
          <w:tab w:val="clear" w:pos="216"/>
          <w:tab w:val="clear" w:pos="4680"/>
          <w:tab w:val="clear" w:pos="4896"/>
          <w:tab w:val="left" w:pos="187"/>
          <w:tab w:val="left" w:pos="3240"/>
          <w:tab w:val="left" w:pos="3427"/>
        </w:tabs>
        <w:spacing w:line="240" w:lineRule="auto"/>
      </w:pPr>
      <w:r>
        <w:t>/s/Sen. Phillip W. Shoopman</w:t>
      </w:r>
      <w:r>
        <w:tab/>
        <w:t>/s/Rep. Edward R. Tallon, Sr.</w:t>
      </w:r>
    </w:p>
    <w:p w:rsidR="009F6F49" w:rsidRDefault="009F6F49" w:rsidP="009F6F49">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9C55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5559" w:rsidRDefault="009C5559" w:rsidP="001A3B68">
      <w:pPr>
        <w:suppressAutoHyphens/>
        <w:jc w:val="both"/>
        <w:rPr>
          <w:rFonts w:eastAsia="Times New Roman"/>
        </w:rPr>
      </w:pPr>
    </w:p>
    <w:sectPr w:rsidR="009C5559" w:rsidSect="00C3358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3D9" w:rsidRDefault="009203D9" w:rsidP="00522CE0">
      <w:r>
        <w:separator/>
      </w:r>
    </w:p>
  </w:endnote>
  <w:endnote w:type="continuationSeparator" w:id="0">
    <w:p w:rsidR="009203D9" w:rsidRDefault="009203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E97B21-C095-4006-BC01-2C813BCD37F4}"/>
    <w:embedBold r:id="rId2" w:fontKey="{B570473A-7DB5-4667-8BB9-8EC55107F461}"/>
  </w:font>
  <w:font w:name="Calibri">
    <w:panose1 w:val="020F0502020204030204"/>
    <w:charset w:val="00"/>
    <w:family w:val="swiss"/>
    <w:pitch w:val="variable"/>
    <w:sig w:usb0="A00002EF" w:usb1="4000207B" w:usb2="00000000" w:usb3="00000000" w:csb0="0000009F" w:csb1="00000000"/>
    <w:embedRegular r:id="rId3" w:fontKey="{6BCD0FF3-FBA1-4E5E-B70B-3FDDE07AF043}"/>
  </w:font>
  <w:font w:name="Cambria">
    <w:panose1 w:val="02040503050406030204"/>
    <w:charset w:val="00"/>
    <w:family w:val="roman"/>
    <w:pitch w:val="variable"/>
    <w:sig w:usb0="A00002EF" w:usb1="4000004B" w:usb2="00000000" w:usb3="00000000" w:csb0="0000009F" w:csb1="00000000"/>
    <w:embedRegular r:id="rId4" w:fontKey="{4F4309C6-D8DB-4CFE-9CFF-98E63F7707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78" w:rsidRPr="009C5559" w:rsidRDefault="009C5559" w:rsidP="009C5559">
    <w:pPr>
      <w:pStyle w:val="Footer"/>
      <w:tabs>
        <w:tab w:val="clear" w:pos="4680"/>
        <w:tab w:val="clear" w:pos="9360"/>
        <w:tab w:val="center" w:pos="2995"/>
      </w:tabs>
      <w:spacing w:before="120"/>
    </w:pPr>
    <w:r>
      <w:t>[30</w:t>
    </w:r>
    <w:r w:rsidR="00C3358F">
      <w:t>-</w:t>
    </w:r>
    <w:fldSimple w:instr=" PAGE  \* MERGEFORMAT ">
      <w:r w:rsidR="001A3B68">
        <w:rPr>
          <w:noProof/>
        </w:rPr>
        <w:t>1</w:t>
      </w:r>
    </w:fldSimple>
    <w:r w:rsidR="00C335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58F" w:rsidRPr="009C5559" w:rsidRDefault="00C3358F" w:rsidP="009C5559">
    <w:pPr>
      <w:pStyle w:val="Footer"/>
      <w:tabs>
        <w:tab w:val="clear" w:pos="4680"/>
        <w:tab w:val="clear" w:pos="9360"/>
        <w:tab w:val="center" w:pos="2995"/>
      </w:tabs>
      <w:spacing w:before="120"/>
    </w:pPr>
    <w:r>
      <w:t>[30]</w:t>
    </w:r>
    <w:r>
      <w:tab/>
    </w:r>
    <w:fldSimple w:instr=" PAGE  \* MERGEFORMAT ">
      <w:r w:rsidR="001A3B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3D9" w:rsidRDefault="009203D9" w:rsidP="00522CE0">
      <w:r>
        <w:separator/>
      </w:r>
    </w:p>
  </w:footnote>
  <w:footnote w:type="continuationSeparator" w:id="0">
    <w:p w:rsidR="009203D9" w:rsidRDefault="009203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30"/>
    <w:docVar w:name="dvBillNumberPrefix" w:val="S. "/>
    <w:docVar w:name="dvOriginalBody" w:val="Senate"/>
    <w:docVar w:name="fulldraftpath" w:val="L:\S-JUD\BILLS\McConnell\JUD0021.JJG.DOCX"/>
    <w:docVar w:name="NameofBody" w:val="S"/>
    <w:docVar w:name="SenatorFolderName" w:val="McConnell"/>
    <w:docVar w:name="VGROUP2" w:val="S-JUD"/>
  </w:docVars>
  <w:rsids>
    <w:rsidRoot w:val="002916F6"/>
    <w:rsid w:val="000141EB"/>
    <w:rsid w:val="00042AC1"/>
    <w:rsid w:val="00046516"/>
    <w:rsid w:val="0009662A"/>
    <w:rsid w:val="000A4D08"/>
    <w:rsid w:val="000A6988"/>
    <w:rsid w:val="000B0720"/>
    <w:rsid w:val="000B5EAF"/>
    <w:rsid w:val="000E473B"/>
    <w:rsid w:val="000F002B"/>
    <w:rsid w:val="00107C3D"/>
    <w:rsid w:val="00126995"/>
    <w:rsid w:val="0016543B"/>
    <w:rsid w:val="00170561"/>
    <w:rsid w:val="00182C68"/>
    <w:rsid w:val="00186AC9"/>
    <w:rsid w:val="00190F47"/>
    <w:rsid w:val="00197DF1"/>
    <w:rsid w:val="001A3B68"/>
    <w:rsid w:val="001B3DD9"/>
    <w:rsid w:val="001D3BAC"/>
    <w:rsid w:val="00206D3D"/>
    <w:rsid w:val="0024519E"/>
    <w:rsid w:val="00245C4E"/>
    <w:rsid w:val="00286155"/>
    <w:rsid w:val="002916F6"/>
    <w:rsid w:val="002932DD"/>
    <w:rsid w:val="002C5896"/>
    <w:rsid w:val="002E2C1B"/>
    <w:rsid w:val="00307C2B"/>
    <w:rsid w:val="0031409E"/>
    <w:rsid w:val="00333DF1"/>
    <w:rsid w:val="0033541C"/>
    <w:rsid w:val="00364389"/>
    <w:rsid w:val="00365043"/>
    <w:rsid w:val="003D6A5D"/>
    <w:rsid w:val="003D6E2B"/>
    <w:rsid w:val="003E7597"/>
    <w:rsid w:val="00412C9E"/>
    <w:rsid w:val="00450668"/>
    <w:rsid w:val="00452CD7"/>
    <w:rsid w:val="0046010D"/>
    <w:rsid w:val="00477696"/>
    <w:rsid w:val="00485D5B"/>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5563"/>
    <w:rsid w:val="005A648C"/>
    <w:rsid w:val="005F15A1"/>
    <w:rsid w:val="005F15E4"/>
    <w:rsid w:val="00606D23"/>
    <w:rsid w:val="00622105"/>
    <w:rsid w:val="00641A16"/>
    <w:rsid w:val="00642097"/>
    <w:rsid w:val="006431BA"/>
    <w:rsid w:val="006518BD"/>
    <w:rsid w:val="006B4B3C"/>
    <w:rsid w:val="006C74EA"/>
    <w:rsid w:val="00720D40"/>
    <w:rsid w:val="007318D4"/>
    <w:rsid w:val="00745B28"/>
    <w:rsid w:val="00746551"/>
    <w:rsid w:val="00765784"/>
    <w:rsid w:val="0078467D"/>
    <w:rsid w:val="007A4390"/>
    <w:rsid w:val="007C65B0"/>
    <w:rsid w:val="007E3B8F"/>
    <w:rsid w:val="007E5CB7"/>
    <w:rsid w:val="008314D2"/>
    <w:rsid w:val="008804AE"/>
    <w:rsid w:val="008916B6"/>
    <w:rsid w:val="00894F83"/>
    <w:rsid w:val="008B2F42"/>
    <w:rsid w:val="008E185F"/>
    <w:rsid w:val="008E5870"/>
    <w:rsid w:val="008F023B"/>
    <w:rsid w:val="008F7524"/>
    <w:rsid w:val="00904E16"/>
    <w:rsid w:val="00911678"/>
    <w:rsid w:val="009203D9"/>
    <w:rsid w:val="00927C62"/>
    <w:rsid w:val="00931A96"/>
    <w:rsid w:val="00983951"/>
    <w:rsid w:val="00984124"/>
    <w:rsid w:val="00984640"/>
    <w:rsid w:val="00995C37"/>
    <w:rsid w:val="009C118A"/>
    <w:rsid w:val="009C5559"/>
    <w:rsid w:val="009F6F49"/>
    <w:rsid w:val="00A02011"/>
    <w:rsid w:val="00A35165"/>
    <w:rsid w:val="00A4011E"/>
    <w:rsid w:val="00A86015"/>
    <w:rsid w:val="00AA172E"/>
    <w:rsid w:val="00AE59C8"/>
    <w:rsid w:val="00AF7EBC"/>
    <w:rsid w:val="00B030B6"/>
    <w:rsid w:val="00B10098"/>
    <w:rsid w:val="00B10E10"/>
    <w:rsid w:val="00B35389"/>
    <w:rsid w:val="00B450FF"/>
    <w:rsid w:val="00B945C5"/>
    <w:rsid w:val="00BA20EA"/>
    <w:rsid w:val="00BC0A56"/>
    <w:rsid w:val="00BC2EE4"/>
    <w:rsid w:val="00C23348"/>
    <w:rsid w:val="00C3358F"/>
    <w:rsid w:val="00C6454A"/>
    <w:rsid w:val="00C64A67"/>
    <w:rsid w:val="00C71309"/>
    <w:rsid w:val="00C74052"/>
    <w:rsid w:val="00C86A67"/>
    <w:rsid w:val="00CB187A"/>
    <w:rsid w:val="00CB5D94"/>
    <w:rsid w:val="00CD7C71"/>
    <w:rsid w:val="00CE1CD8"/>
    <w:rsid w:val="00D1088B"/>
    <w:rsid w:val="00D156D2"/>
    <w:rsid w:val="00D57C3F"/>
    <w:rsid w:val="00D77EC0"/>
    <w:rsid w:val="00D86943"/>
    <w:rsid w:val="00D96000"/>
    <w:rsid w:val="00DA47B9"/>
    <w:rsid w:val="00E677A1"/>
    <w:rsid w:val="00E91E2F"/>
    <w:rsid w:val="00EA3546"/>
    <w:rsid w:val="00EB1AAC"/>
    <w:rsid w:val="00EB47AE"/>
    <w:rsid w:val="00EC34E1"/>
    <w:rsid w:val="00ED0AE1"/>
    <w:rsid w:val="00F0234A"/>
    <w:rsid w:val="00F52959"/>
    <w:rsid w:val="00F532D4"/>
    <w:rsid w:val="00F55884"/>
    <w:rsid w:val="00F6448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622105"/>
    <w:rPr>
      <w:color w:val="800080" w:themeColor="followedHyperlink"/>
      <w:u w:val="single"/>
    </w:rPr>
  </w:style>
  <w:style w:type="paragraph" w:customStyle="1" w:styleId="ConSign">
    <w:name w:val="ConSign"/>
    <w:basedOn w:val="Normal"/>
    <w:rsid w:val="009F6F49"/>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729</Words>
  <Characters>4161</Characters>
  <Application>Microsoft Office Word</Application>
  <DocSecurity>0</DocSecurity>
  <Lines>34</Lines>
  <Paragraphs>9</Paragraphs>
  <ScaleCrop>false</ScaleCrop>
  <Company> </Company>
  <LinksUpToDate>false</LinksUpToDate>
  <CharactersWithSpaces>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cp:lastPrinted>2011-06-01T22:49:00Z</cp:lastPrinted>
  <dcterms:created xsi:type="dcterms:W3CDTF">2011-06-22T20:18:00Z</dcterms:created>
  <dcterms:modified xsi:type="dcterms:W3CDTF">2011-06-22T20:18:00Z</dcterms:modified>
</cp:coreProperties>
</file>