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6DC" w:rsidRDefault="00AB36DC" w:rsidP="001D7F4F">
      <w:pPr>
        <w:pStyle w:val="BillDots"/>
      </w:pPr>
      <w:r>
        <w:rPr>
          <w:strike/>
        </w:rPr>
        <w:t>Indicates Matter Stricken</w:t>
      </w:r>
    </w:p>
    <w:p w:rsidR="00AB36DC" w:rsidRPr="00AB36DC" w:rsidRDefault="00AB36DC" w:rsidP="001D7F4F">
      <w:pPr>
        <w:pStyle w:val="BillDots"/>
      </w:pPr>
      <w:r>
        <w:rPr>
          <w:u w:val="single"/>
        </w:rPr>
        <w:t>Indicates New Matter</w:t>
      </w:r>
    </w:p>
    <w:p w:rsidR="00AB36DC" w:rsidRDefault="00AB36DC" w:rsidP="001D7F4F">
      <w:pPr>
        <w:pStyle w:val="BillDots"/>
      </w:pPr>
    </w:p>
    <w:p w:rsidR="00B11818" w:rsidRDefault="00B11818" w:rsidP="00AB36DC">
      <w:pPr>
        <w:pStyle w:val="BillDots"/>
        <w:tabs>
          <w:tab w:val="clear" w:pos="216"/>
          <w:tab w:val="clear" w:pos="432"/>
          <w:tab w:val="clear" w:pos="648"/>
          <w:tab w:val="clear" w:pos="864"/>
          <w:tab w:val="clear" w:pos="1080"/>
          <w:tab w:val="clear" w:pos="1296"/>
          <w:tab w:val="clear" w:pos="5904"/>
          <w:tab w:val="right" w:pos="5933"/>
        </w:tabs>
      </w:pPr>
    </w:p>
    <w:p w:rsidR="00B11818" w:rsidRDefault="00B11818" w:rsidP="00AB36DC">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B11818" w:rsidRDefault="00B11818" w:rsidP="00AB36DC">
      <w:pPr>
        <w:pStyle w:val="BillDots"/>
        <w:tabs>
          <w:tab w:val="clear" w:pos="216"/>
          <w:tab w:val="clear" w:pos="432"/>
          <w:tab w:val="clear" w:pos="648"/>
          <w:tab w:val="clear" w:pos="864"/>
          <w:tab w:val="clear" w:pos="1080"/>
          <w:tab w:val="clear" w:pos="1296"/>
          <w:tab w:val="clear" w:pos="5904"/>
          <w:tab w:val="right" w:pos="5933"/>
        </w:tabs>
      </w:pPr>
      <w:r>
        <w:t>Amt. No.1 (Doc. Path council\bbm\10139htc11)</w:t>
      </w:r>
    </w:p>
    <w:p w:rsidR="00B11818" w:rsidRDefault="00B11818" w:rsidP="00AB36DC">
      <w:pPr>
        <w:pStyle w:val="BillDots"/>
        <w:tabs>
          <w:tab w:val="clear" w:pos="216"/>
          <w:tab w:val="clear" w:pos="432"/>
          <w:tab w:val="clear" w:pos="648"/>
          <w:tab w:val="clear" w:pos="864"/>
          <w:tab w:val="clear" w:pos="1080"/>
          <w:tab w:val="clear" w:pos="1296"/>
          <w:tab w:val="clear" w:pos="5904"/>
          <w:tab w:val="right" w:pos="5933"/>
        </w:tabs>
      </w:pPr>
      <w:r>
        <w:t>April 27, 2011</w:t>
      </w:r>
    </w:p>
    <w:p w:rsidR="00B11818" w:rsidRDefault="00B11818" w:rsidP="00AB36DC">
      <w:pPr>
        <w:pStyle w:val="BillDots"/>
        <w:tabs>
          <w:tab w:val="clear" w:pos="216"/>
          <w:tab w:val="clear" w:pos="432"/>
          <w:tab w:val="clear" w:pos="648"/>
          <w:tab w:val="clear" w:pos="864"/>
          <w:tab w:val="clear" w:pos="1080"/>
          <w:tab w:val="clear" w:pos="1296"/>
          <w:tab w:val="clear" w:pos="5904"/>
          <w:tab w:val="right" w:pos="5933"/>
        </w:tabs>
      </w:pPr>
    </w:p>
    <w:p w:rsidR="00AB36DC" w:rsidRPr="00AB36DC" w:rsidRDefault="00AB36DC" w:rsidP="00AB36DC">
      <w:pPr>
        <w:pStyle w:val="BillDots"/>
        <w:tabs>
          <w:tab w:val="clear" w:pos="216"/>
          <w:tab w:val="clear" w:pos="432"/>
          <w:tab w:val="clear" w:pos="648"/>
          <w:tab w:val="clear" w:pos="864"/>
          <w:tab w:val="clear" w:pos="1080"/>
          <w:tab w:val="clear" w:pos="1296"/>
          <w:tab w:val="clear" w:pos="5904"/>
          <w:tab w:val="right" w:pos="5933"/>
        </w:tabs>
      </w:pPr>
      <w:r>
        <w:tab/>
      </w:r>
      <w:r>
        <w:rPr>
          <w:b/>
          <w:sz w:val="36"/>
        </w:rPr>
        <w:t>H. 3713</w:t>
      </w:r>
    </w:p>
    <w:p w:rsidR="00AB36DC" w:rsidRDefault="00AB36DC" w:rsidP="001D7F4F">
      <w:pPr>
        <w:pStyle w:val="BillDots"/>
      </w:pPr>
    </w:p>
    <w:p w:rsidR="00AB36DC" w:rsidRDefault="00AB36DC" w:rsidP="00AB36DC">
      <w:pPr>
        <w:pStyle w:val="BillDots"/>
      </w:pPr>
      <w:r>
        <w:t>Introduced by Reps. Merrill, J.R. Smith, Ryan, Hamilton, Stringer, G.R. Smith, Bedingfield, Barfield, Sandifer, McCoy, Horne, Stavrinakis, Clemmons, Loftis, Lucas, Herbkersman, Patrick, Erickson, G.M. Smith, Knight</w:t>
      </w:r>
      <w:r w:rsidR="00504A50">
        <w:t>,</w:t>
      </w:r>
      <w:r>
        <w:t xml:space="preserve"> </w:t>
      </w:r>
      <w:r w:rsidR="00504A50">
        <w:t xml:space="preserve">Murphy </w:t>
      </w:r>
      <w:r>
        <w:t>and Hixon</w:t>
      </w:r>
    </w:p>
    <w:p w:rsidR="00AB36DC" w:rsidRDefault="00AB36DC" w:rsidP="001D7F4F">
      <w:pPr>
        <w:pStyle w:val="BillDots"/>
      </w:pPr>
    </w:p>
    <w:p w:rsidR="00AB36DC" w:rsidRDefault="00AB36DC" w:rsidP="00504A50">
      <w:pPr>
        <w:pStyle w:val="BillDots"/>
        <w:tabs>
          <w:tab w:val="clear" w:pos="216"/>
          <w:tab w:val="clear" w:pos="432"/>
          <w:tab w:val="clear" w:pos="648"/>
          <w:tab w:val="clear" w:pos="864"/>
          <w:tab w:val="clear" w:pos="1080"/>
          <w:tab w:val="clear" w:pos="1296"/>
          <w:tab w:val="clear" w:pos="5904"/>
          <w:tab w:val="right" w:pos="5933"/>
        </w:tabs>
      </w:pPr>
      <w:r>
        <w:t>S. Printed 4/6/11--H.</w:t>
      </w:r>
    </w:p>
    <w:p w:rsidR="00AB36DC" w:rsidRDefault="00AB36DC" w:rsidP="001D7F4F">
      <w:pPr>
        <w:pStyle w:val="BillDots"/>
      </w:pPr>
      <w:r>
        <w:t>Read the first time February 17, 2011.</w:t>
      </w:r>
    </w:p>
    <w:p w:rsidR="00AB36DC" w:rsidRPr="00AB36DC" w:rsidRDefault="00AB36DC" w:rsidP="00AB36DC">
      <w:pPr>
        <w:pStyle w:val="BillDots"/>
        <w:jc w:val="center"/>
      </w:pPr>
      <w:r>
        <w:rPr>
          <w:u w:val="single"/>
        </w:rPr>
        <w:t>            </w:t>
      </w:r>
    </w:p>
    <w:p w:rsidR="00AB36DC" w:rsidRPr="00AB36DC" w:rsidRDefault="00AB36DC" w:rsidP="001D7F4F">
      <w:pPr>
        <w:pStyle w:val="BillDots"/>
        <w:sectPr w:rsidR="00AB36DC" w:rsidRPr="00AB36DC" w:rsidSect="00AB36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0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58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9474D"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875B5">
        <w:rPr>
          <w:color w:val="000000" w:themeColor="text1"/>
          <w:u w:color="000000" w:themeColor="text1"/>
        </w:rPr>
        <w:t>TO AMEND THE CODE OF LAWS OF SOUTH CAROLINA, 1976, BY ADDING SECTION 12</w:t>
      </w:r>
      <w:r w:rsidRPr="000875B5">
        <w:rPr>
          <w:color w:val="000000" w:themeColor="text1"/>
          <w:u w:color="000000" w:themeColor="text1"/>
        </w:rPr>
        <w:noBreakHyphen/>
        <w:t>37</w:t>
      </w:r>
      <w:r w:rsidRPr="000875B5">
        <w:rPr>
          <w:color w:val="000000" w:themeColor="text1"/>
          <w:u w:color="000000" w:themeColor="text1"/>
        </w:rPr>
        <w:noBreakHyphen/>
        <w:t>3135 SO AS TO PROVIDE THAT WHEN A PARCEL OF REAL PROPERTY AND IMPROVEMENTS THEREON PREVIOUSLY SUBJECT TO PROPERTY TAX UNDERGOES AN ASSESSABLE TRANSFER OF INTEREST AND THE VALUE OF THE PARCEL AS DETERMINED AT THE TIME OF THE ASSESSABLE TRANSFER OF INTEREST IS GREATER THAN THE VALUE OF THE PARCEL USED IN THE PROPERTY TAX ASSESSMENT ON THE PARCEL FOR THE MOST RECENTLY COMPLETED PROPERTY TAX YEAR, THERE IS ALLOWED AN EXEMPTION OF AN AMOUNT OF THE FAIR MARKET VALUE OF THE PARCEL SUFFICIENT TO ELIMINATE ANY INCREASE IN THE VALUE OF THE PARCEL; TO AMEND SECTION 12</w:t>
      </w:r>
      <w:r w:rsidRPr="000875B5">
        <w:rPr>
          <w:color w:val="000000" w:themeColor="text1"/>
          <w:u w:color="000000" w:themeColor="text1"/>
        </w:rPr>
        <w:noBreakHyphen/>
        <w:t>37</w:t>
      </w:r>
      <w:r w:rsidRPr="000875B5">
        <w:rPr>
          <w:color w:val="000000" w:themeColor="text1"/>
          <w:u w:color="000000" w:themeColor="text1"/>
        </w:rPr>
        <w:noBreakHyphen/>
        <w:t>3140, AS AMEND</w:t>
      </w:r>
      <w:r w:rsidR="00FD14A1">
        <w:rPr>
          <w:color w:val="000000" w:themeColor="text1"/>
          <w:u w:color="000000" w:themeColor="text1"/>
        </w:rPr>
        <w:t>ED, RELATING TO DETERMINING FAIR MARKET VALUE, SO AS TO MAKE A CONFORMING CHANGE</w:t>
      </w:r>
      <w:r w:rsidR="00FA3839">
        <w:rPr>
          <w:color w:val="000000" w:themeColor="text1"/>
          <w:u w:color="000000" w:themeColor="text1"/>
        </w:rPr>
        <w:t>;</w:t>
      </w:r>
      <w:r w:rsidRPr="000875B5">
        <w:rPr>
          <w:color w:val="000000" w:themeColor="text1"/>
          <w:u w:color="000000" w:themeColor="text1"/>
        </w:rPr>
        <w:t xml:space="preserve"> AND TO AMEND </w:t>
      </w:r>
      <w:r w:rsidR="001543D9">
        <w:rPr>
          <w:color w:val="000000" w:themeColor="text1"/>
          <w:u w:color="000000" w:themeColor="text1"/>
        </w:rPr>
        <w:t xml:space="preserve">SECTION </w:t>
      </w:r>
      <w:r w:rsidRPr="000875B5">
        <w:rPr>
          <w:color w:val="000000" w:themeColor="text1"/>
          <w:u w:color="000000" w:themeColor="text1"/>
        </w:rPr>
        <w:t>12</w:t>
      </w:r>
      <w:r w:rsidRPr="000875B5">
        <w:rPr>
          <w:color w:val="000000" w:themeColor="text1"/>
          <w:u w:color="000000" w:themeColor="text1"/>
        </w:rPr>
        <w:noBreakHyphen/>
        <w:t>60</w:t>
      </w:r>
      <w:r w:rsidRPr="000875B5">
        <w:rPr>
          <w:color w:val="000000" w:themeColor="text1"/>
          <w:u w:color="000000" w:themeColor="text1"/>
        </w:rPr>
        <w:noBreakHyphen/>
        <w:t>30, AS AMENDED,</w:t>
      </w:r>
      <w:r w:rsidR="00FA3839">
        <w:rPr>
          <w:color w:val="000000" w:themeColor="text1"/>
          <w:u w:color="000000" w:themeColor="text1"/>
        </w:rPr>
        <w:t xml:space="preserve"> RELATING TO</w:t>
      </w:r>
      <w:r w:rsidR="00FD14A1">
        <w:rPr>
          <w:color w:val="000000" w:themeColor="text1"/>
          <w:u w:color="000000" w:themeColor="text1"/>
        </w:rPr>
        <w:t xml:space="preserve"> DEFINITIONS IN THE REVENUE PROCEDURES ACT, SO AS</w:t>
      </w:r>
      <w:r w:rsidRPr="000875B5">
        <w:rPr>
          <w:color w:val="000000" w:themeColor="text1"/>
          <w:u w:color="000000" w:themeColor="text1"/>
        </w:rPr>
        <w:t xml:space="preserve"> TO CLARIFY THE DEFINITION OF PROPERTY TAX ASSESSMENT.</w:t>
      </w:r>
    </w:p>
    <w:p w:rsidR="00B11818" w:rsidRDefault="00B11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75814" w:rsidRDefault="007758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814" w:rsidRDefault="007758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5814" w:rsidRDefault="007758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74D"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SECTION</w:t>
      </w:r>
      <w:r w:rsidRPr="000875B5">
        <w:rPr>
          <w:color w:val="000000" w:themeColor="text1"/>
          <w:u w:color="000000" w:themeColor="text1"/>
        </w:rPr>
        <w:tab/>
        <w:t>1.</w:t>
      </w:r>
      <w:r w:rsidRPr="000875B5">
        <w:rPr>
          <w:color w:val="000000" w:themeColor="text1"/>
          <w:u w:color="000000" w:themeColor="text1"/>
        </w:rPr>
        <w:tab/>
        <w:t>Article 25, Chapter 37, Title 12 of the 1976 Code is amended by adding:</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t>“Section 12</w:t>
      </w:r>
      <w:r w:rsidRPr="000875B5">
        <w:rPr>
          <w:color w:val="000000" w:themeColor="text1"/>
          <w:u w:color="000000" w:themeColor="text1"/>
        </w:rPr>
        <w:noBreakHyphen/>
        <w:t>37</w:t>
      </w:r>
      <w:r w:rsidRPr="000875B5">
        <w:rPr>
          <w:color w:val="000000" w:themeColor="text1"/>
          <w:u w:color="000000" w:themeColor="text1"/>
        </w:rPr>
        <w:noBreakHyphen/>
      </w:r>
      <w:r>
        <w:rPr>
          <w:color w:val="000000" w:themeColor="text1"/>
          <w:u w:color="000000" w:themeColor="text1"/>
        </w:rPr>
        <w:t>3135.</w:t>
      </w:r>
      <w:r>
        <w:rPr>
          <w:color w:val="000000" w:themeColor="text1"/>
          <w:u w:color="000000" w:themeColor="text1"/>
        </w:rPr>
        <w:tab/>
        <w:t xml:space="preserve"> </w:t>
      </w:r>
      <w:r w:rsidRPr="000875B5">
        <w:rPr>
          <w:color w:val="000000" w:themeColor="text1"/>
          <w:u w:color="000000" w:themeColor="text1"/>
        </w:rPr>
        <w:t>(A)(1)</w:t>
      </w:r>
      <w:r>
        <w:rPr>
          <w:color w:val="000000" w:themeColor="text1"/>
          <w:u w:color="000000" w:themeColor="text1"/>
        </w:rPr>
        <w:tab/>
        <w:t xml:space="preserve"> </w:t>
      </w:r>
      <w:r w:rsidRPr="000875B5">
        <w:rPr>
          <w:color w:val="000000" w:themeColor="text1"/>
          <w:u w:color="000000" w:themeColor="text1"/>
        </w:rPr>
        <w:t xml:space="preserve">When a parcel of real property and improvements thereon previously subject to property tax undergoes an assessable transfer of interest and the value of the </w:t>
      </w:r>
      <w:r w:rsidRPr="000875B5">
        <w:rPr>
          <w:color w:val="000000" w:themeColor="text1"/>
          <w:u w:color="000000" w:themeColor="text1"/>
        </w:rPr>
        <w:lastRenderedPageBreak/>
        <w:t>parcel as determined at the time of the assessable transfer of interest is greater than the value of the parcel used in the property tax assessment on the parcel for the most recently completed property tax year, there is allowed an exemption of an amount of the fair market value of the parcel sufficient to eliminate any increase in the value of the parcel as determined in the appraisal at the time of the assessable transfer of interest over the value used in the property tax assessment on the parcel for the most recently completed property tax year.  For purposes of this item, property tax assessment has the meaning provided in Section 12</w:t>
      </w:r>
      <w:r w:rsidRPr="000875B5">
        <w:rPr>
          <w:color w:val="000000" w:themeColor="text1"/>
          <w:u w:color="000000" w:themeColor="text1"/>
        </w:rPr>
        <w:noBreakHyphen/>
        <w:t>60</w:t>
      </w:r>
      <w:r w:rsidRPr="000875B5">
        <w:rPr>
          <w:color w:val="000000" w:themeColor="text1"/>
          <w:u w:color="000000" w:themeColor="text1"/>
        </w:rPr>
        <w:noBreakHyphen/>
        <w:t>30(19).</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r>
      <w:r w:rsidRPr="000875B5">
        <w:rPr>
          <w:color w:val="000000" w:themeColor="text1"/>
          <w:u w:color="000000" w:themeColor="text1"/>
        </w:rPr>
        <w:tab/>
        <w:t>(2)</w:t>
      </w:r>
      <w:r w:rsidRPr="000875B5">
        <w:rPr>
          <w:color w:val="000000" w:themeColor="text1"/>
          <w:u w:color="000000" w:themeColor="text1"/>
        </w:rPr>
        <w:tab/>
        <w:t>The value to which the cap on increases in fair market value imposed pursuant to Section 12</w:t>
      </w:r>
      <w:r w:rsidRPr="000875B5">
        <w:rPr>
          <w:color w:val="000000" w:themeColor="text1"/>
          <w:u w:color="000000" w:themeColor="text1"/>
        </w:rPr>
        <w:noBreakHyphen/>
        <w:t>37</w:t>
      </w:r>
      <w:r w:rsidRPr="000875B5">
        <w:rPr>
          <w:color w:val="000000" w:themeColor="text1"/>
          <w:u w:color="000000" w:themeColor="text1"/>
        </w:rPr>
        <w:noBreakHyphen/>
        <w:t>3140(B) applies is the value as it may be reduced by the exemption allowed pursuant to item (1) of this subsection.</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r>
      <w:r w:rsidRPr="000875B5">
        <w:rPr>
          <w:color w:val="000000" w:themeColor="text1"/>
          <w:u w:color="000000" w:themeColor="text1"/>
        </w:rPr>
        <w:tab/>
        <w:t>(3)</w:t>
      </w:r>
      <w:r w:rsidRPr="000875B5">
        <w:rPr>
          <w:color w:val="000000" w:themeColor="text1"/>
          <w:u w:color="000000" w:themeColor="text1"/>
        </w:rPr>
        <w:tab/>
        <w:t>The exemption allowed by item (1) of this subsection does not apply to the fair market value of a parcel of real property when that separate parcel has not been previously taxed nor does it apply to the fair market value of additions or improvements made to a parcel of real property when those additions or improvements have not previously been taxed.</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t>(B)(1)</w:t>
      </w:r>
      <w:r w:rsidRPr="000875B5">
        <w:rPr>
          <w:color w:val="000000" w:themeColor="text1"/>
          <w:u w:color="000000" w:themeColor="text1"/>
        </w:rPr>
        <w:tab/>
        <w:t>When a parcel receiving the exemption allowed by subsection (A)(1) of this section thereafter undergoes assessable transfers of interest, that parcel is not subject to appraisal as required pursuant to Section 12</w:t>
      </w:r>
      <w:r w:rsidRPr="000875B5">
        <w:rPr>
          <w:color w:val="000000" w:themeColor="text1"/>
          <w:u w:color="000000" w:themeColor="text1"/>
        </w:rPr>
        <w:noBreakHyphen/>
        <w:t>37</w:t>
      </w:r>
      <w:r w:rsidRPr="000875B5">
        <w:rPr>
          <w:color w:val="000000" w:themeColor="text1"/>
          <w:u w:color="000000" w:themeColor="text1"/>
        </w:rPr>
        <w:noBreakHyphen/>
        <w:t>3130(4) unless the taxpayer notifies the property tax assessor in writing that the parcel has undergone an assessable transfer of interest in the current property tax year.  Upon confirmation that an assessable transfer of interest has occurred, the property tax assessor shall determine the fair market value of</w:t>
      </w:r>
      <w:r w:rsidR="00FD14A1">
        <w:rPr>
          <w:color w:val="000000" w:themeColor="text1"/>
          <w:u w:color="000000" w:themeColor="text1"/>
        </w:rPr>
        <w:t xml:space="preserve"> the</w:t>
      </w:r>
      <w:r w:rsidRPr="000875B5">
        <w:rPr>
          <w:color w:val="000000" w:themeColor="text1"/>
          <w:u w:color="000000" w:themeColor="text1"/>
        </w:rPr>
        <w:t xml:space="preserve"> parcel at the time of the assessable transfer of value and that value shall apply as provided in Section 12</w:t>
      </w:r>
      <w:r w:rsidRPr="000875B5">
        <w:rPr>
          <w:color w:val="000000" w:themeColor="text1"/>
          <w:u w:color="000000" w:themeColor="text1"/>
        </w:rPr>
        <w:noBreakHyphen/>
        <w:t>37</w:t>
      </w:r>
      <w:r w:rsidRPr="000875B5">
        <w:rPr>
          <w:color w:val="000000" w:themeColor="text1"/>
          <w:u w:color="000000" w:themeColor="text1"/>
        </w:rPr>
        <w:noBreakHyphen/>
        <w:t>3140(E).</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r>
      <w:r w:rsidRPr="000875B5">
        <w:rPr>
          <w:color w:val="000000" w:themeColor="text1"/>
          <w:u w:color="000000" w:themeColor="text1"/>
        </w:rPr>
        <w:tab/>
        <w:t>(2)</w:t>
      </w:r>
      <w:r w:rsidRPr="000875B5">
        <w:rPr>
          <w:color w:val="000000" w:themeColor="text1"/>
          <w:u w:color="000000" w:themeColor="text1"/>
        </w:rPr>
        <w:tab/>
        <w:t>The owner of a parcel receiving the exemption allowed by subsection (A) of this section is not subject to the ownership reporting requirements of this article except at the time of the notice to the property tax assessor.”</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74D"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SECTION</w:t>
      </w:r>
      <w:r w:rsidRPr="000875B5">
        <w:rPr>
          <w:color w:val="000000" w:themeColor="text1"/>
          <w:u w:color="000000" w:themeColor="text1"/>
        </w:rPr>
        <w:tab/>
        <w:t>2.</w:t>
      </w:r>
      <w:r w:rsidRPr="000875B5">
        <w:rPr>
          <w:color w:val="000000" w:themeColor="text1"/>
          <w:u w:color="000000" w:themeColor="text1"/>
        </w:rPr>
        <w:tab/>
        <w:t>Section 12</w:t>
      </w:r>
      <w:r w:rsidRPr="000875B5">
        <w:rPr>
          <w:color w:val="000000" w:themeColor="text1"/>
          <w:u w:color="000000" w:themeColor="text1"/>
        </w:rPr>
        <w:noBreakHyphen/>
        <w:t>37</w:t>
      </w:r>
      <w:r w:rsidRPr="000875B5">
        <w:rPr>
          <w:color w:val="000000" w:themeColor="text1"/>
          <w:u w:color="000000" w:themeColor="text1"/>
        </w:rPr>
        <w:noBreakHyphen/>
        <w:t>3140(A)(1)(b) of the 1976 Code, as last amended by Act 57 of 2007, is further amended to read:</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t>“(b)</w:t>
      </w:r>
      <w:r w:rsidRPr="000875B5">
        <w:rPr>
          <w:color w:val="000000" w:themeColor="text1"/>
          <w:u w:color="000000" w:themeColor="text1"/>
        </w:rPr>
        <w:tab/>
      </w:r>
      <w:r w:rsidRPr="000875B5">
        <w:rPr>
          <w:color w:val="000000" w:themeColor="text1"/>
          <w:u w:val="single" w:color="000000" w:themeColor="text1"/>
        </w:rPr>
        <w:t>subject to any exemption allowed pursuant to Section 12</w:t>
      </w:r>
      <w:r w:rsidRPr="000875B5">
        <w:rPr>
          <w:color w:val="000000" w:themeColor="text1"/>
          <w:u w:val="single" w:color="000000" w:themeColor="text1"/>
        </w:rPr>
        <w:noBreakHyphen/>
        <w:t>37</w:t>
      </w:r>
      <w:r w:rsidRPr="000875B5">
        <w:rPr>
          <w:color w:val="000000" w:themeColor="text1"/>
          <w:u w:val="single" w:color="000000" w:themeColor="text1"/>
        </w:rPr>
        <w:noBreakHyphen/>
        <w:t>3135(A),</w:t>
      </w:r>
      <w:r w:rsidRPr="000875B5">
        <w:rPr>
          <w:color w:val="000000" w:themeColor="text1"/>
          <w:u w:color="000000" w:themeColor="text1"/>
        </w:rPr>
        <w:t xml:space="preserve"> December thirty</w:t>
      </w:r>
      <w:r w:rsidRPr="000875B5">
        <w:rPr>
          <w:color w:val="000000" w:themeColor="text1"/>
          <w:u w:color="000000" w:themeColor="text1"/>
        </w:rPr>
        <w:noBreakHyphen/>
        <w:t>first of the year in which an assessable transfer of interest has occurred;”</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74D"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lastRenderedPageBreak/>
        <w:t>SECTION</w:t>
      </w:r>
      <w:r w:rsidRPr="000875B5">
        <w:rPr>
          <w:color w:val="000000" w:themeColor="text1"/>
          <w:u w:color="000000" w:themeColor="text1"/>
        </w:rPr>
        <w:tab/>
        <w:t>3.</w:t>
      </w:r>
      <w:r w:rsidRPr="000875B5">
        <w:rPr>
          <w:color w:val="000000" w:themeColor="text1"/>
          <w:u w:color="000000" w:themeColor="text1"/>
        </w:rPr>
        <w:tab/>
        <w:t>Section 12</w:t>
      </w:r>
      <w:r w:rsidRPr="000875B5">
        <w:rPr>
          <w:color w:val="000000" w:themeColor="text1"/>
          <w:u w:color="000000" w:themeColor="text1"/>
        </w:rPr>
        <w:noBreakHyphen/>
        <w:t>60</w:t>
      </w:r>
      <w:r w:rsidRPr="000875B5">
        <w:rPr>
          <w:color w:val="000000" w:themeColor="text1"/>
          <w:u w:color="000000" w:themeColor="text1"/>
        </w:rPr>
        <w:noBreakHyphen/>
        <w:t>30(19) of the 1976 Code is amended to read:</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875B5">
        <w:rPr>
          <w:color w:val="000000" w:themeColor="text1"/>
          <w:u w:color="000000" w:themeColor="text1"/>
        </w:rPr>
        <w:t>“(19)</w:t>
      </w:r>
      <w:r>
        <w:rPr>
          <w:color w:val="000000" w:themeColor="text1"/>
          <w:u w:color="000000" w:themeColor="text1"/>
        </w:rPr>
        <w:tab/>
        <w:t>‘</w:t>
      </w:r>
      <w:r w:rsidRPr="000875B5">
        <w:rPr>
          <w:color w:val="000000" w:themeColor="text1"/>
          <w:u w:color="000000" w:themeColor="text1"/>
        </w:rPr>
        <w:t>Property tax assessment</w:t>
      </w:r>
      <w:r>
        <w:rPr>
          <w:color w:val="000000" w:themeColor="text1"/>
          <w:u w:color="000000" w:themeColor="text1"/>
        </w:rPr>
        <w:t>’</w:t>
      </w:r>
      <w:r w:rsidRPr="000875B5">
        <w:rPr>
          <w:color w:val="000000" w:themeColor="text1"/>
          <w:u w:color="000000" w:themeColor="text1"/>
        </w:rPr>
        <w:t xml:space="preserve"> means a valuation or determination of property value for annual property tax purposes arrived at by multiplying the fair market value</w:t>
      </w:r>
      <w:r w:rsidRPr="000875B5">
        <w:rPr>
          <w:color w:val="000000" w:themeColor="text1"/>
          <w:u w:val="single" w:color="000000" w:themeColor="text1"/>
        </w:rPr>
        <w:t>, as limited pursuant to Section 12</w:t>
      </w:r>
      <w:r w:rsidRPr="000875B5">
        <w:rPr>
          <w:color w:val="000000" w:themeColor="text1"/>
          <w:u w:val="single" w:color="000000" w:themeColor="text1"/>
        </w:rPr>
        <w:noBreakHyphen/>
        <w:t>37</w:t>
      </w:r>
      <w:r w:rsidRPr="000875B5">
        <w:rPr>
          <w:color w:val="000000" w:themeColor="text1"/>
          <w:u w:val="single" w:color="000000" w:themeColor="text1"/>
        </w:rPr>
        <w:noBreakHyphen/>
        <w:t>3140(B),</w:t>
      </w:r>
      <w:r w:rsidRPr="000875B5">
        <w:rPr>
          <w:color w:val="000000" w:themeColor="text1"/>
          <w:u w:color="000000" w:themeColor="text1"/>
        </w:rPr>
        <w:t xml:space="preserve"> or special use value of the property by the appropriate assessment ratio for the taxable property’s classification.”</w:t>
      </w:r>
    </w:p>
    <w:p w:rsidR="0079474D" w:rsidRPr="000875B5"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11818"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5000">
        <w:t>SECTION</w:t>
      </w:r>
      <w:r w:rsidRPr="00D05000">
        <w:tab/>
        <w:t>4.</w:t>
      </w:r>
      <w:r w:rsidRPr="00D05000">
        <w:tab/>
      </w:r>
      <w:r w:rsidRPr="00D05000">
        <w:rPr>
          <w:u w:color="000000" w:themeColor="text1"/>
        </w:rPr>
        <w:t>This act takes effect upon approval by the Governor and applies to real property transfers after December 31, 2010.  Property tax assessors shall conform the values of parcels of real property which underwent an assessable transfer of interest in 2011 before the effective date of this act, to the fair market value of these parcels as that value may have been adjusted to reflect the provisions of Section 12</w:t>
      </w:r>
      <w:r w:rsidRPr="00D05000">
        <w:rPr>
          <w:u w:color="000000" w:themeColor="text1"/>
        </w:rPr>
        <w:noBreakHyphen/>
        <w:t>37</w:t>
      </w:r>
      <w:r w:rsidRPr="00D05000">
        <w:rPr>
          <w:u w:color="000000" w:themeColor="text1"/>
        </w:rPr>
        <w:noBreakHyphen/>
        <w:t>3135 of the 1976 Code, as added by this act.</w:t>
      </w:r>
    </w:p>
    <w:p w:rsidR="00BE0A77" w:rsidRDefault="0010776B" w:rsidP="00C56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0A77" w:rsidRDefault="00BE0A77" w:rsidP="00C71F2F">
      <w:pPr>
        <w:suppressAutoHyphens/>
      </w:pPr>
    </w:p>
    <w:sectPr w:rsidR="00BE0A77" w:rsidSect="00AB36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5814" w:rsidRDefault="00775814" w:rsidP="009F0C77">
      <w:r>
        <w:separator/>
      </w:r>
    </w:p>
  </w:endnote>
  <w:endnote w:type="continuationSeparator" w:id="0">
    <w:p w:rsidR="00775814" w:rsidRDefault="007758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08B2D6-B87D-40B0-95B9-D55EC776AA17}"/>
    <w:embedBold r:id="rId2" w:fontKey="{0925A912-C923-4EB1-980E-067F9BE836CC}"/>
  </w:font>
  <w:font w:name="Calibri">
    <w:panose1 w:val="020F0502020204030204"/>
    <w:charset w:val="00"/>
    <w:family w:val="swiss"/>
    <w:pitch w:val="variable"/>
    <w:sig w:usb0="A00002EF" w:usb1="4000207B" w:usb2="00000000" w:usb3="00000000" w:csb0="0000009F" w:csb1="00000000"/>
    <w:embedRegular r:id="rId3" w:fontKey="{6F2C751B-839A-4145-95BE-410F524B110E}"/>
  </w:font>
  <w:font w:name="Arial">
    <w:panose1 w:val="020B0604020202020204"/>
    <w:charset w:val="00"/>
    <w:family w:val="swiss"/>
    <w:pitch w:val="variable"/>
    <w:sig w:usb0="20002A87" w:usb1="80000000" w:usb2="00000008" w:usb3="00000000" w:csb0="000001FF" w:csb1="00000000"/>
    <w:embedRegular r:id="rId4" w:fontKey="{A87084B8-677F-49FD-9D95-4A4433163D3F}"/>
    <w:embedBold r:id="rId5" w:fontKey="{6B1D659E-C937-46DE-A6D4-7615ECD11FFE}"/>
  </w:font>
  <w:font w:name="Tahoma">
    <w:panose1 w:val="020B0604030504040204"/>
    <w:charset w:val="00"/>
    <w:family w:val="swiss"/>
    <w:pitch w:val="variable"/>
    <w:sig w:usb0="61002A87" w:usb1="80000000" w:usb2="00000008" w:usb3="00000000" w:csb0="000101FF" w:csb1="00000000"/>
    <w:embedRegular r:id="rId6" w:fontKey="{0DB5440A-A20A-46F5-AE15-AF018AF993E9}"/>
  </w:font>
  <w:font w:name="Cambria">
    <w:panose1 w:val="02040503050406030204"/>
    <w:charset w:val="00"/>
    <w:family w:val="roman"/>
    <w:pitch w:val="variable"/>
    <w:sig w:usb0="A00002EF" w:usb1="4000004B" w:usb2="00000000" w:usb3="00000000" w:csb0="0000009F" w:csb1="00000000"/>
    <w:embedRegular r:id="rId7" w:fontKey="{62617273-319B-4E55-AC97-E8AA403E6E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EB4" w:rsidRPr="00BE0A77" w:rsidRDefault="00BE0A77" w:rsidP="00BE0A77">
    <w:pPr>
      <w:pStyle w:val="Footer"/>
      <w:tabs>
        <w:tab w:val="clear" w:pos="4680"/>
        <w:tab w:val="clear" w:pos="9360"/>
        <w:tab w:val="center" w:pos="2995"/>
      </w:tabs>
      <w:spacing w:before="120"/>
    </w:pPr>
    <w:r>
      <w:t>[3713</w:t>
    </w:r>
    <w:r w:rsidR="00AB36DC">
      <w:t>-</w:t>
    </w:r>
    <w:fldSimple w:instr=" PAGE  \* MERGEFORMAT ">
      <w:r w:rsidR="00C71F2F">
        <w:rPr>
          <w:noProof/>
        </w:rPr>
        <w:t>1</w:t>
      </w:r>
    </w:fldSimple>
    <w:r w:rsidR="00AB36D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6DC" w:rsidRPr="00BE0A77" w:rsidRDefault="00AB36DC" w:rsidP="00BE0A77">
    <w:pPr>
      <w:pStyle w:val="Footer"/>
      <w:tabs>
        <w:tab w:val="clear" w:pos="4680"/>
        <w:tab w:val="clear" w:pos="9360"/>
        <w:tab w:val="center" w:pos="2995"/>
      </w:tabs>
      <w:spacing w:before="120"/>
    </w:pPr>
    <w:r>
      <w:t>[3713]</w:t>
    </w:r>
    <w:r>
      <w:tab/>
    </w:r>
    <w:fldSimple w:instr=" PAGE  \* MERGEFORMAT ">
      <w:r w:rsidR="00C71F2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5814" w:rsidRDefault="00775814" w:rsidP="009F0C77">
      <w:r>
        <w:separator/>
      </w:r>
    </w:p>
  </w:footnote>
  <w:footnote w:type="continuationSeparator" w:id="0">
    <w:p w:rsidR="00775814" w:rsidRDefault="007758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96DG11"/>
    <w:docVar w:name="CoverBillType" w:val="b"/>
    <w:docVar w:name="docpath" w:val="L:\Council\bills\NBD\11196DG11.DOCX"/>
    <w:docVar w:name="dvBillNumber" w:val="3713"/>
    <w:docVar w:name="dvBillNumberPrefix" w:val="H. "/>
    <w:docVar w:name="dvOriginalBody" w:val="House"/>
    <w:docVar w:name="dvSteno" w:val="NBD"/>
    <w:docVar w:name="NameofBody" w:val="h"/>
    <w:docVar w:name="vgroup2" w:val="Council"/>
  </w:docVars>
  <w:rsids>
    <w:rsidRoot w:val="00B467A3"/>
    <w:rsid w:val="00011869"/>
    <w:rsid w:val="000A29BF"/>
    <w:rsid w:val="000E1785"/>
    <w:rsid w:val="000F2AC4"/>
    <w:rsid w:val="000F40FA"/>
    <w:rsid w:val="0010776B"/>
    <w:rsid w:val="00133E66"/>
    <w:rsid w:val="001435A3"/>
    <w:rsid w:val="001543D9"/>
    <w:rsid w:val="001B4C48"/>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76814"/>
    <w:rsid w:val="004809EE"/>
    <w:rsid w:val="004E7D54"/>
    <w:rsid w:val="00502F43"/>
    <w:rsid w:val="00504A50"/>
    <w:rsid w:val="00521D94"/>
    <w:rsid w:val="005273C6"/>
    <w:rsid w:val="00530A69"/>
    <w:rsid w:val="00545593"/>
    <w:rsid w:val="00545C7F"/>
    <w:rsid w:val="00577C6C"/>
    <w:rsid w:val="005C2FE2"/>
    <w:rsid w:val="005E2BC9"/>
    <w:rsid w:val="00605102"/>
    <w:rsid w:val="006215AA"/>
    <w:rsid w:val="006913C9"/>
    <w:rsid w:val="0069470D"/>
    <w:rsid w:val="006B1388"/>
    <w:rsid w:val="006C3726"/>
    <w:rsid w:val="006C6C35"/>
    <w:rsid w:val="00734F00"/>
    <w:rsid w:val="0074147E"/>
    <w:rsid w:val="00765F51"/>
    <w:rsid w:val="00775814"/>
    <w:rsid w:val="0079474D"/>
    <w:rsid w:val="007A70AE"/>
    <w:rsid w:val="007A7EA1"/>
    <w:rsid w:val="008362E8"/>
    <w:rsid w:val="0084599E"/>
    <w:rsid w:val="008638AB"/>
    <w:rsid w:val="008A1768"/>
    <w:rsid w:val="008F4429"/>
    <w:rsid w:val="0094021A"/>
    <w:rsid w:val="009C6A0B"/>
    <w:rsid w:val="009F0C77"/>
    <w:rsid w:val="009F4DD1"/>
    <w:rsid w:val="00A41684"/>
    <w:rsid w:val="00A64E80"/>
    <w:rsid w:val="00A72BCD"/>
    <w:rsid w:val="00A741D9"/>
    <w:rsid w:val="00A833AB"/>
    <w:rsid w:val="00A9741D"/>
    <w:rsid w:val="00AB36DC"/>
    <w:rsid w:val="00AD4B17"/>
    <w:rsid w:val="00B11818"/>
    <w:rsid w:val="00B219ED"/>
    <w:rsid w:val="00B412D4"/>
    <w:rsid w:val="00B467A3"/>
    <w:rsid w:val="00B94008"/>
    <w:rsid w:val="00BE0A77"/>
    <w:rsid w:val="00BE3C22"/>
    <w:rsid w:val="00C0345E"/>
    <w:rsid w:val="00C3483A"/>
    <w:rsid w:val="00C565D9"/>
    <w:rsid w:val="00C71F2F"/>
    <w:rsid w:val="00C74E9D"/>
    <w:rsid w:val="00C82FD3"/>
    <w:rsid w:val="00C92819"/>
    <w:rsid w:val="00CC6B7B"/>
    <w:rsid w:val="00CD2089"/>
    <w:rsid w:val="00D56EB4"/>
    <w:rsid w:val="00D73A67"/>
    <w:rsid w:val="00D970A9"/>
    <w:rsid w:val="00DF22F5"/>
    <w:rsid w:val="00DF3845"/>
    <w:rsid w:val="00E41911"/>
    <w:rsid w:val="00E56B42"/>
    <w:rsid w:val="00E92EEF"/>
    <w:rsid w:val="00F07240"/>
    <w:rsid w:val="00F24442"/>
    <w:rsid w:val="00F50AE3"/>
    <w:rsid w:val="00F51B66"/>
    <w:rsid w:val="00F67CF1"/>
    <w:rsid w:val="00F840F0"/>
    <w:rsid w:val="00FA3839"/>
    <w:rsid w:val="00FB0D0D"/>
    <w:rsid w:val="00FB43B4"/>
    <w:rsid w:val="00FD14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AB36DC"/>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3839"/>
    <w:rPr>
      <w:rFonts w:ascii="Tahoma" w:hAnsi="Tahoma" w:cs="Tahoma"/>
      <w:sz w:val="16"/>
      <w:szCs w:val="16"/>
    </w:rPr>
  </w:style>
  <w:style w:type="character" w:customStyle="1" w:styleId="BalloonTextChar">
    <w:name w:val="Balloon Text Char"/>
    <w:basedOn w:val="DefaultParagraphFont"/>
    <w:link w:val="BalloonText"/>
    <w:uiPriority w:val="99"/>
    <w:semiHidden/>
    <w:rsid w:val="00FA3839"/>
    <w:rPr>
      <w:rFonts w:ascii="Tahoma" w:eastAsia="Times New Roman" w:hAnsi="Tahoma" w:cs="Tahoma"/>
      <w:sz w:val="16"/>
      <w:szCs w:val="16"/>
    </w:rPr>
  </w:style>
  <w:style w:type="character" w:customStyle="1" w:styleId="Heading2Char">
    <w:name w:val="Heading 2 Char"/>
    <w:basedOn w:val="DefaultParagraphFont"/>
    <w:link w:val="Heading2"/>
    <w:rsid w:val="00AB36DC"/>
    <w:rPr>
      <w:rFonts w:ascii="Arial" w:eastAsia="Times New Roman" w:hAnsi="Arial" w:cs="Times New Roman"/>
      <w:b/>
      <w:snapToGrid w:val="0"/>
      <w:sz w:val="24"/>
      <w:szCs w:val="20"/>
    </w:rPr>
  </w:style>
  <w:style w:type="paragraph" w:styleId="Title">
    <w:name w:val="Title"/>
    <w:basedOn w:val="Normal"/>
    <w:link w:val="TitleChar"/>
    <w:qFormat/>
    <w:rsid w:val="00AB36DC"/>
    <w:pPr>
      <w:tabs>
        <w:tab w:val="left" w:pos="1530"/>
      </w:tabs>
      <w:jc w:val="center"/>
    </w:pPr>
    <w:rPr>
      <w:rFonts w:ascii="Arial" w:hAnsi="Arial"/>
      <w:sz w:val="24"/>
    </w:rPr>
  </w:style>
  <w:style w:type="character" w:customStyle="1" w:styleId="TitleChar">
    <w:name w:val="Title Char"/>
    <w:basedOn w:val="DefaultParagraphFont"/>
    <w:link w:val="Title"/>
    <w:rsid w:val="00AB36DC"/>
    <w:rPr>
      <w:rFonts w:ascii="Arial" w:eastAsia="Times New Roman" w:hAnsi="Arial" w:cs="Times New Roman"/>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55378-A5FB-44D6-9986-1A096665A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822</Words>
  <Characters>4219</Characters>
  <Application>Microsoft Office Word</Application>
  <DocSecurity>0</DocSecurity>
  <Lines>108</Lines>
  <Paragraphs>28</Paragraphs>
  <ScaleCrop>false</ScaleCrop>
  <Company> </Company>
  <LinksUpToDate>false</LinksUpToDate>
  <CharactersWithSpaces>5013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2011-04-28T00:36:00Z</cp:lastPrinted>
  <dcterms:created xsi:type="dcterms:W3CDTF">2011-04-28T00:42:00Z</dcterms:created>
  <dcterms:modified xsi:type="dcterms:W3CDTF">2011-04-28T00:42:00Z</dcterms:modified>
</cp:coreProperties>
</file>