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08E" w:rsidRDefault="002B508E" w:rsidP="002B508E">
      <w:pPr>
        <w:widowControl w:val="0"/>
        <w:jc w:val="center"/>
      </w:pPr>
      <w:r w:rsidRPr="002B508E">
        <w:rPr>
          <w:b/>
        </w:rPr>
        <w:t>South Carolina General Assembly</w:t>
      </w:r>
    </w:p>
    <w:p w:rsidR="002B508E" w:rsidRDefault="002B508E" w:rsidP="002B508E">
      <w:pPr>
        <w:widowControl w:val="0"/>
        <w:jc w:val="center"/>
      </w:pPr>
      <w:r>
        <w:t>120th Session, 2013-2014</w:t>
      </w:r>
    </w:p>
    <w:p w:rsidR="002B508E" w:rsidRDefault="002B508E" w:rsidP="002B508E">
      <w:pPr>
        <w:widowControl w:val="0"/>
        <w:jc w:val="left"/>
      </w:pPr>
    </w:p>
    <w:p w:rsidR="002B508E" w:rsidRDefault="002B508E" w:rsidP="002B508E">
      <w:pPr>
        <w:widowControl w:val="0"/>
        <w:jc w:val="left"/>
        <w:rPr>
          <w:b/>
        </w:rPr>
      </w:pPr>
      <w:r w:rsidRPr="002B508E">
        <w:rPr>
          <w:b/>
        </w:rPr>
        <w:t>S.</w:t>
      </w:r>
      <w:r>
        <w:rPr>
          <w:b/>
        </w:rPr>
        <w:t xml:space="preserve"> </w:t>
      </w:r>
      <w:r w:rsidRPr="002B508E">
        <w:rPr>
          <w:b/>
        </w:rPr>
        <w:t>1051</w:t>
      </w:r>
    </w:p>
    <w:p w:rsidR="002B508E" w:rsidRDefault="002B508E" w:rsidP="002B508E">
      <w:pPr>
        <w:widowControl w:val="0"/>
        <w:jc w:val="left"/>
        <w:rPr>
          <w:b/>
        </w:rPr>
      </w:pPr>
    </w:p>
    <w:p w:rsidR="002B508E" w:rsidRDefault="002B508E" w:rsidP="002B508E">
      <w:pPr>
        <w:widowControl w:val="0"/>
        <w:jc w:val="left"/>
      </w:pPr>
      <w:r w:rsidRPr="002B508E">
        <w:rPr>
          <w:b/>
        </w:rPr>
        <w:t>STATUS INFORMATION</w:t>
      </w:r>
    </w:p>
    <w:p w:rsidR="002B508E" w:rsidRDefault="002B508E" w:rsidP="002B508E">
      <w:pPr>
        <w:widowControl w:val="0"/>
        <w:jc w:val="left"/>
      </w:pPr>
    </w:p>
    <w:p w:rsidR="002B508E" w:rsidRDefault="002B508E" w:rsidP="002B508E">
      <w:pPr>
        <w:widowControl w:val="0"/>
        <w:jc w:val="left"/>
      </w:pPr>
      <w:r>
        <w:t>General Bill</w:t>
      </w:r>
    </w:p>
    <w:p w:rsidR="002B508E" w:rsidRDefault="002B508E" w:rsidP="002B508E">
      <w:pPr>
        <w:widowControl w:val="0"/>
        <w:jc w:val="left"/>
      </w:pPr>
      <w:r>
        <w:t>Sponsors: Senators Rankin, Cleary, McGill, Williams and Hembree</w:t>
      </w:r>
    </w:p>
    <w:p w:rsidR="002B508E" w:rsidRDefault="002B508E" w:rsidP="002B508E">
      <w:pPr>
        <w:widowControl w:val="0"/>
        <w:jc w:val="left"/>
      </w:pPr>
      <w:r>
        <w:t>Document Path: l:\council\bills\bh\26087dg14.docx</w:t>
      </w:r>
    </w:p>
    <w:p w:rsidR="006B1D87" w:rsidRDefault="006B1D87" w:rsidP="002B508E">
      <w:pPr>
        <w:widowControl w:val="0"/>
        <w:jc w:val="left"/>
      </w:pPr>
      <w:r>
        <w:t>Companion/Similar bill(s): 4928</w:t>
      </w:r>
    </w:p>
    <w:p w:rsidR="002B508E" w:rsidRDefault="002B508E" w:rsidP="002B508E">
      <w:pPr>
        <w:widowControl w:val="0"/>
        <w:jc w:val="left"/>
      </w:pPr>
    </w:p>
    <w:p w:rsidR="002B508E" w:rsidRDefault="002B508E" w:rsidP="002B508E">
      <w:pPr>
        <w:widowControl w:val="0"/>
        <w:jc w:val="left"/>
      </w:pPr>
      <w:r>
        <w:t>Introduced in the Senate on February 25, 2014</w:t>
      </w:r>
    </w:p>
    <w:p w:rsidR="002B508E" w:rsidRDefault="002B508E" w:rsidP="002B508E">
      <w:pPr>
        <w:widowControl w:val="0"/>
        <w:jc w:val="left"/>
      </w:pPr>
      <w:r>
        <w:t xml:space="preserve">Currently residing in the Senate Committee on </w:t>
      </w:r>
      <w:r w:rsidRPr="002B508E">
        <w:rPr>
          <w:b/>
        </w:rPr>
        <w:t>Finance</w:t>
      </w:r>
    </w:p>
    <w:p w:rsidR="002B508E" w:rsidRDefault="002B508E" w:rsidP="002B508E">
      <w:pPr>
        <w:widowControl w:val="0"/>
        <w:jc w:val="left"/>
      </w:pPr>
    </w:p>
    <w:p w:rsidR="002B508E" w:rsidRDefault="002B508E" w:rsidP="002B508E">
      <w:pPr>
        <w:widowControl w:val="0"/>
        <w:jc w:val="left"/>
      </w:pPr>
      <w:r>
        <w:t xml:space="preserve">Summary: </w:t>
      </w:r>
      <w:r w:rsidR="00C02FAF">
        <w:t>Tourism Expenditure Review Committee</w:t>
      </w:r>
    </w:p>
    <w:p w:rsidR="002B508E" w:rsidRDefault="002B508E" w:rsidP="002B508E">
      <w:pPr>
        <w:widowControl w:val="0"/>
        <w:jc w:val="left"/>
      </w:pPr>
    </w:p>
    <w:p w:rsidR="002B508E" w:rsidRDefault="002B508E" w:rsidP="002B508E">
      <w:pPr>
        <w:widowControl w:val="0"/>
        <w:jc w:val="left"/>
      </w:pPr>
    </w:p>
    <w:p w:rsidR="002B508E" w:rsidRDefault="002B508E" w:rsidP="002B508E">
      <w:pPr>
        <w:widowControl w:val="0"/>
        <w:tabs>
          <w:tab w:val="center" w:pos="590"/>
          <w:tab w:val="center" w:pos="1440"/>
          <w:tab w:val="left" w:pos="1872"/>
          <w:tab w:val="left" w:pos="9187"/>
        </w:tabs>
        <w:jc w:val="left"/>
      </w:pPr>
      <w:r w:rsidRPr="002B508E">
        <w:rPr>
          <w:b/>
        </w:rPr>
        <w:t>HISTORY OF LEGISLATIVE ACTIONS</w:t>
      </w:r>
    </w:p>
    <w:p w:rsidR="002B508E" w:rsidRDefault="002B508E" w:rsidP="002B508E">
      <w:pPr>
        <w:widowControl w:val="0"/>
        <w:tabs>
          <w:tab w:val="center" w:pos="590"/>
          <w:tab w:val="center" w:pos="1440"/>
          <w:tab w:val="left" w:pos="1872"/>
          <w:tab w:val="left" w:pos="9187"/>
        </w:tabs>
        <w:jc w:val="left"/>
      </w:pPr>
    </w:p>
    <w:p w:rsidR="002B508E" w:rsidRPr="002B508E" w:rsidRDefault="002B508E" w:rsidP="002B508E">
      <w:pPr>
        <w:widowControl w:val="0"/>
        <w:tabs>
          <w:tab w:val="center" w:pos="590"/>
          <w:tab w:val="center" w:pos="1440"/>
          <w:tab w:val="left" w:pos="1872"/>
          <w:tab w:val="left" w:pos="9187"/>
        </w:tabs>
        <w:jc w:val="left"/>
      </w:pPr>
      <w:bookmarkStart w:id="0" w:name="_GoBack"/>
      <w:r w:rsidRPr="002B508E">
        <w:rPr>
          <w:u w:val="single"/>
        </w:rPr>
        <w:tab/>
        <w:t>Date</w:t>
      </w:r>
      <w:r w:rsidRPr="002B508E">
        <w:rPr>
          <w:u w:val="single"/>
        </w:rPr>
        <w:tab/>
        <w:t>Body</w:t>
      </w:r>
      <w:r w:rsidRPr="002B508E">
        <w:rPr>
          <w:u w:val="single"/>
        </w:rPr>
        <w:tab/>
        <w:t>Action Description with journal page number</w:t>
      </w:r>
      <w:r w:rsidRPr="002B508E">
        <w:rPr>
          <w:u w:val="single"/>
        </w:rPr>
        <w:tab/>
      </w:r>
      <w:bookmarkEnd w:id="0"/>
    </w:p>
    <w:p w:rsidR="005F7FD5" w:rsidRDefault="005F7FD5" w:rsidP="005F7FD5">
      <w:pPr>
        <w:widowControl w:val="0"/>
        <w:tabs>
          <w:tab w:val="right" w:pos="1008"/>
          <w:tab w:val="left" w:pos="1152"/>
          <w:tab w:val="left" w:pos="1872"/>
          <w:tab w:val="left" w:pos="9187"/>
        </w:tabs>
        <w:ind w:left="2088" w:hanging="2088"/>
        <w:jc w:val="left"/>
      </w:pPr>
      <w:r>
        <w:tab/>
        <w:t>2/25/2014</w:t>
      </w:r>
      <w:r>
        <w:tab/>
        <w:t>Senate</w:t>
      </w:r>
      <w:r>
        <w:tab/>
      </w:r>
      <w:r w:rsidRPr="003E5171">
        <w:t>Introduced and read first time (</w:t>
      </w:r>
      <w:hyperlink r:id="rId7" w:history="1">
        <w:r w:rsidRPr="003E5171">
          <w:rPr>
            <w:rStyle w:val="Hyperlink"/>
          </w:rPr>
          <w:t>Senate Journal</w:t>
        </w:r>
        <w:r w:rsidRPr="003E5171">
          <w:rPr>
            <w:rStyle w:val="Hyperlink"/>
          </w:rPr>
          <w:noBreakHyphen/>
          <w:t>page 9</w:t>
        </w:r>
      </w:hyperlink>
      <w:r w:rsidRPr="003E5171">
        <w:t>)</w:t>
      </w:r>
    </w:p>
    <w:p w:rsidR="005F7FD5" w:rsidRDefault="005F7FD5" w:rsidP="005F7FD5">
      <w:pPr>
        <w:widowControl w:val="0"/>
        <w:tabs>
          <w:tab w:val="right" w:pos="1008"/>
          <w:tab w:val="left" w:pos="1152"/>
          <w:tab w:val="left" w:pos="1872"/>
          <w:tab w:val="left" w:pos="9187"/>
        </w:tabs>
        <w:ind w:left="2088" w:hanging="2088"/>
        <w:jc w:val="left"/>
      </w:pPr>
      <w:r>
        <w:tab/>
        <w:t>2/25/2014</w:t>
      </w:r>
      <w:r>
        <w:tab/>
        <w:t>Senate</w:t>
      </w:r>
      <w:r>
        <w:tab/>
      </w:r>
      <w:r w:rsidRPr="003E5171">
        <w:t>R</w:t>
      </w:r>
      <w:r>
        <w:t xml:space="preserve">eferred to Committee on </w:t>
      </w:r>
      <w:r w:rsidRPr="003E5171">
        <w:rPr>
          <w:b/>
        </w:rPr>
        <w:t>Finance</w:t>
      </w:r>
      <w:r>
        <w:t xml:space="preserve"> </w:t>
      </w:r>
      <w:r w:rsidRPr="003E5171">
        <w:t>(</w:t>
      </w:r>
      <w:hyperlink r:id="rId8" w:history="1">
        <w:r w:rsidRPr="003E5171">
          <w:rPr>
            <w:rStyle w:val="Hyperlink"/>
          </w:rPr>
          <w:t>Senate Journal</w:t>
        </w:r>
        <w:r w:rsidRPr="003E5171">
          <w:rPr>
            <w:rStyle w:val="Hyperlink"/>
          </w:rPr>
          <w:noBreakHyphen/>
          <w:t>page 9</w:t>
        </w:r>
      </w:hyperlink>
      <w:r w:rsidRPr="003E5171">
        <w:t>)</w:t>
      </w:r>
    </w:p>
    <w:p w:rsidR="005F7FD5" w:rsidRDefault="005F7FD5" w:rsidP="005F7FD5">
      <w:pPr>
        <w:widowControl w:val="0"/>
        <w:tabs>
          <w:tab w:val="right" w:pos="1008"/>
          <w:tab w:val="left" w:pos="1152"/>
          <w:tab w:val="left" w:pos="1872"/>
          <w:tab w:val="left" w:pos="9187"/>
        </w:tabs>
        <w:ind w:left="2088" w:hanging="2088"/>
        <w:jc w:val="left"/>
      </w:pPr>
    </w:p>
    <w:p w:rsidR="002B508E" w:rsidRPr="002B508E" w:rsidRDefault="002B508E" w:rsidP="002B508E">
      <w:pPr>
        <w:widowControl w:val="0"/>
        <w:tabs>
          <w:tab w:val="right" w:pos="1008"/>
          <w:tab w:val="left" w:pos="1152"/>
          <w:tab w:val="left" w:pos="1872"/>
          <w:tab w:val="left" w:pos="9187"/>
        </w:tabs>
        <w:ind w:left="2088" w:hanging="2088"/>
        <w:jc w:val="left"/>
      </w:pPr>
    </w:p>
    <w:p w:rsidR="002B508E" w:rsidRDefault="002B508E" w:rsidP="002B508E">
      <w:pPr>
        <w:widowControl w:val="0"/>
        <w:jc w:val="left"/>
      </w:pPr>
      <w:r w:rsidRPr="002B508E">
        <w:rPr>
          <w:b/>
        </w:rPr>
        <w:t>VERSIONS OF THIS BILL</w:t>
      </w:r>
    </w:p>
    <w:p w:rsidR="002B508E" w:rsidRDefault="002B508E" w:rsidP="002B508E">
      <w:pPr>
        <w:widowControl w:val="0"/>
        <w:jc w:val="left"/>
      </w:pPr>
    </w:p>
    <w:p w:rsidR="002B508E" w:rsidRDefault="00F50324" w:rsidP="002B508E">
      <w:pPr>
        <w:widowControl w:val="0"/>
        <w:jc w:val="left"/>
      </w:pPr>
      <w:hyperlink r:id="rId9" w:history="1">
        <w:r w:rsidR="002B508E">
          <w:rPr>
            <w:rStyle w:val="Hyperlink"/>
          </w:rPr>
          <w:t>2/25/2014</w:t>
        </w:r>
      </w:hyperlink>
    </w:p>
    <w:p w:rsidR="002B508E" w:rsidRDefault="002B508E" w:rsidP="002B508E"/>
    <w:p w:rsidR="002B508E" w:rsidRDefault="002B508E" w:rsidP="002B508E">
      <w:pPr>
        <w:sectPr w:rsidR="002B508E" w:rsidSect="002B508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32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AA7" w:rsidRPr="00F80AA7" w:rsidRDefault="00F80AA7" w:rsidP="00F8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80AA7">
        <w:rPr>
          <w:color w:val="000000" w:themeColor="text1"/>
          <w:u w:color="000000" w:themeColor="text1"/>
        </w:rPr>
        <w:t xml:space="preserve">TO AMEND </w:t>
      </w:r>
      <w:r w:rsidR="006E5E9B">
        <w:rPr>
          <w:color w:val="000000" w:themeColor="text1"/>
          <w:u w:color="000000" w:themeColor="text1"/>
        </w:rPr>
        <w:t xml:space="preserve">THE </w:t>
      </w:r>
      <w:r w:rsidRPr="00F80AA7">
        <w:rPr>
          <w:color w:val="000000" w:themeColor="text1"/>
          <w:u w:color="000000" w:themeColor="text1"/>
        </w:rPr>
        <w:t>CODE OF LAWS OF SOUTH CAROLINA, 1976, BY ADDING SECTION 6</w:t>
      </w:r>
      <w:r w:rsidRPr="00F80AA7">
        <w:rPr>
          <w:color w:val="000000" w:themeColor="text1"/>
          <w:u w:color="000000" w:themeColor="text1"/>
        </w:rPr>
        <w:noBreakHyphen/>
        <w:t>4</w:t>
      </w:r>
      <w:r w:rsidRPr="00F80AA7">
        <w:rPr>
          <w:color w:val="000000" w:themeColor="text1"/>
          <w:u w:color="000000" w:themeColor="text1"/>
        </w:rPr>
        <w:noBreakHyphen/>
        <w:t>36 SO AS TO PROVIDE FOR THE NOTIFICATION OF A MUNICIPALITY OR COUNTY BY THE TOURISM EXPENDITURE REVIEW COMMITTEE IF THE COMMITTEE FINDS AN EXPENDITURE TO BE IN NONCOMPLIANCE, TO PROVIDE FOR A PROCEDURE FOR REFUNDING THE AMOUNT FOUND IN NONCOMPLIANCE, TO PROVIDE FOR ACTIONS TO BE TAKEN AGAINST A MUNICIPALITY OR COUNTY THAT DOES NOT REFUND THE NONCOMPLIANT AMOUNT, TO PROVIDE A PROCEDURE FOR CERTIFICATION BY THE MUNICIPALITY OR COUNTY TO THE COMMITTEE THAT NONCOMPLIANT AMOUNTS HAVE BEEN REFUNDED, TO PROVIDE THE FISCAL YEARS TO WHICH THE ABOVE PROVISIONS APPLY, AND TO PROVIDE THAT THIS S</w:t>
      </w:r>
      <w:r w:rsidR="006557DC">
        <w:rPr>
          <w:color w:val="000000" w:themeColor="text1"/>
          <w:u w:color="000000" w:themeColor="text1"/>
        </w:rPr>
        <w:t>ECTION IS REPEALED JUNE 30, 2015</w:t>
      </w:r>
      <w:r w:rsidRPr="00F80AA7">
        <w:rPr>
          <w:color w:val="000000" w:themeColor="text1"/>
          <w:u w:color="000000" w:themeColor="text1"/>
        </w:rPr>
        <w:t xml:space="preserve">. </w:t>
      </w:r>
    </w:p>
    <w:p w:rsidR="00A53208" w:rsidRDefault="00A532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3208" w:rsidRDefault="00A532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0AA7" w:rsidRDefault="00F80AA7" w:rsidP="00F8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AA7" w:rsidRPr="00703E38" w:rsidRDefault="00F80AA7" w:rsidP="00F8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3E38">
        <w:rPr>
          <w:color w:val="000000" w:themeColor="text1"/>
          <w:u w:color="000000" w:themeColor="text1"/>
        </w:rPr>
        <w:t>SECTION</w:t>
      </w:r>
      <w:r w:rsidR="006557DC">
        <w:rPr>
          <w:color w:val="000000" w:themeColor="text1"/>
          <w:u w:color="000000" w:themeColor="text1"/>
        </w:rPr>
        <w:tab/>
      </w:r>
      <w:r w:rsidRPr="00703E38">
        <w:rPr>
          <w:color w:val="000000" w:themeColor="text1"/>
          <w:u w:color="000000" w:themeColor="text1"/>
        </w:rPr>
        <w:t>1.</w:t>
      </w:r>
      <w:r w:rsidR="006557DC">
        <w:rPr>
          <w:color w:val="000000" w:themeColor="text1"/>
          <w:u w:color="000000" w:themeColor="text1"/>
        </w:rPr>
        <w:tab/>
      </w:r>
      <w:r w:rsidRPr="00703E38">
        <w:rPr>
          <w:color w:val="000000" w:themeColor="text1"/>
          <w:u w:color="000000" w:themeColor="text1"/>
        </w:rPr>
        <w:t xml:space="preserve">Chapter 4, Title 6 of the 1976 Code is amended by adding: </w:t>
      </w:r>
    </w:p>
    <w:p w:rsidR="00F80AA7" w:rsidRDefault="00F80AA7" w:rsidP="00F8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F80AA7" w:rsidRPr="00703E38" w:rsidRDefault="00F80AA7" w:rsidP="00F8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3E38">
        <w:rPr>
          <w:color w:val="000000" w:themeColor="text1"/>
          <w:u w:color="000000" w:themeColor="text1"/>
        </w:rPr>
        <w:t>“Section 6</w:t>
      </w:r>
      <w:r w:rsidRPr="00703E38">
        <w:rPr>
          <w:color w:val="000000" w:themeColor="text1"/>
          <w:u w:color="000000" w:themeColor="text1"/>
        </w:rPr>
        <w:noBreakHyphen/>
        <w:t>4</w:t>
      </w:r>
      <w:r w:rsidRPr="00703E38">
        <w:rPr>
          <w:color w:val="000000" w:themeColor="text1"/>
          <w:u w:color="000000" w:themeColor="text1"/>
        </w:rPr>
        <w:noBreakHyphen/>
        <w:t>36.</w:t>
      </w:r>
      <w:r>
        <w:rPr>
          <w:color w:val="000000" w:themeColor="text1"/>
          <w:u w:color="000000" w:themeColor="text1"/>
        </w:rPr>
        <w:tab/>
      </w:r>
      <w:r w:rsidRPr="00703E38">
        <w:rPr>
          <w:color w:val="000000" w:themeColor="text1"/>
          <w:u w:color="000000" w:themeColor="text1"/>
        </w:rPr>
        <w:t>(A)</w:t>
      </w:r>
      <w:r>
        <w:rPr>
          <w:color w:val="000000" w:themeColor="text1"/>
          <w:u w:color="000000" w:themeColor="text1"/>
        </w:rPr>
        <w:tab/>
      </w:r>
      <w:r w:rsidRPr="00703E38">
        <w:rPr>
          <w:color w:val="000000" w:themeColor="text1"/>
          <w:u w:color="000000" w:themeColor="text1"/>
        </w:rPr>
        <w:t>In addition to the provisions of Section 6</w:t>
      </w:r>
      <w:r w:rsidRPr="00703E38">
        <w:rPr>
          <w:color w:val="000000" w:themeColor="text1"/>
          <w:u w:color="000000" w:themeColor="text1"/>
        </w:rPr>
        <w:noBreakHyphen/>
        <w:t>4</w:t>
      </w:r>
      <w:r w:rsidRPr="00703E38">
        <w:rPr>
          <w:color w:val="000000" w:themeColor="text1"/>
          <w:u w:color="000000" w:themeColor="text1"/>
        </w:rPr>
        <w:noBreakHyphen/>
        <w:t xml:space="preserve">35(B)(1)(a), if the Tourism Expenditure Review Committee finds an expenditure to be in noncompliance, the committee must notify the municipality or county of the finding. Upon notification, the municipality or county may refund an amount equivalent to the amount determined to be in noncompliance to the appropriate fund. If the municipality or county certifies to the committee that the amount has been refunded, the municipality or county is not subject to future withholdings of the amount determined to be in </w:t>
      </w:r>
      <w:r w:rsidRPr="00703E38">
        <w:rPr>
          <w:color w:val="000000" w:themeColor="text1"/>
          <w:u w:color="000000" w:themeColor="text1"/>
        </w:rPr>
        <w:lastRenderedPageBreak/>
        <w:t>noncompliance. After the amount determined to be in noncompliance has been refunded, the municipality or county may expend the funds for a compliant tourism</w:t>
      </w:r>
      <w:r w:rsidRPr="00703E38">
        <w:rPr>
          <w:color w:val="000000" w:themeColor="text1"/>
          <w:u w:color="000000" w:themeColor="text1"/>
        </w:rPr>
        <w:noBreakHyphen/>
        <w:t>related purpose. Any subsequent expenditure of a refunded amount is subject to the reporting and review requirements of this chapter. If the committee informs the county or municipality of an expenditure determined to be in noncompliance and the county or municipality does not refund the noncompliant amount, the committee shall certify the noncompliance to the State Treasurer as provided in Section 6</w:t>
      </w:r>
      <w:r w:rsidRPr="00703E38">
        <w:rPr>
          <w:color w:val="000000" w:themeColor="text1"/>
          <w:u w:color="000000" w:themeColor="text1"/>
        </w:rPr>
        <w:noBreakHyphen/>
        <w:t>4</w:t>
      </w:r>
      <w:r w:rsidRPr="00703E38">
        <w:rPr>
          <w:color w:val="000000" w:themeColor="text1"/>
          <w:u w:color="000000" w:themeColor="text1"/>
        </w:rPr>
        <w:noBreakHyphen/>
        <w:t xml:space="preserve">35(B)(1)(a) for the actions to be taken as required therein. If the committee determines an expenditure of any refunded amount to be in noncompliance, the municipality or county may not refund an equivalent amount in order to avoid future withholdings. </w:t>
      </w:r>
    </w:p>
    <w:p w:rsidR="00F80AA7" w:rsidRPr="00703E38" w:rsidRDefault="00F80AA7" w:rsidP="00F8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3E38">
        <w:rPr>
          <w:color w:val="000000" w:themeColor="text1"/>
          <w:u w:color="000000" w:themeColor="text1"/>
        </w:rPr>
        <w:t>(B)</w:t>
      </w:r>
      <w:r>
        <w:rPr>
          <w:color w:val="000000" w:themeColor="text1"/>
          <w:u w:color="000000" w:themeColor="text1"/>
        </w:rPr>
        <w:tab/>
      </w:r>
      <w:r w:rsidRPr="00703E38">
        <w:rPr>
          <w:color w:val="000000" w:themeColor="text1"/>
          <w:u w:color="000000" w:themeColor="text1"/>
        </w:rPr>
        <w:t xml:space="preserve">The provisions of subsection (A) apply to accommodations tax allocations for </w:t>
      </w:r>
      <w:r w:rsidR="006557DC">
        <w:rPr>
          <w:color w:val="000000" w:themeColor="text1"/>
          <w:u w:color="000000" w:themeColor="text1"/>
        </w:rPr>
        <w:t>F</w:t>
      </w:r>
      <w:r w:rsidRPr="00703E38">
        <w:rPr>
          <w:color w:val="000000" w:themeColor="text1"/>
          <w:u w:color="000000" w:themeColor="text1"/>
        </w:rPr>
        <w:t xml:space="preserve">iscal </w:t>
      </w:r>
      <w:r w:rsidR="006557DC">
        <w:rPr>
          <w:color w:val="000000" w:themeColor="text1"/>
          <w:u w:color="000000" w:themeColor="text1"/>
        </w:rPr>
        <w:t>Y</w:t>
      </w:r>
      <w:r w:rsidRPr="00703E38">
        <w:rPr>
          <w:color w:val="000000" w:themeColor="text1"/>
          <w:u w:color="000000" w:themeColor="text1"/>
        </w:rPr>
        <w:t>ear 200</w:t>
      </w:r>
      <w:r w:rsidR="006557DC">
        <w:rPr>
          <w:color w:val="000000" w:themeColor="text1"/>
          <w:u w:color="000000" w:themeColor="text1"/>
        </w:rPr>
        <w:t>8</w:t>
      </w:r>
      <w:r w:rsidRPr="00703E38">
        <w:rPr>
          <w:color w:val="000000" w:themeColor="text1"/>
          <w:u w:color="000000" w:themeColor="text1"/>
        </w:rPr>
        <w:noBreakHyphen/>
        <w:t>200</w:t>
      </w:r>
      <w:r w:rsidR="006557DC">
        <w:rPr>
          <w:color w:val="000000" w:themeColor="text1"/>
          <w:u w:color="000000" w:themeColor="text1"/>
        </w:rPr>
        <w:t>9</w:t>
      </w:r>
      <w:r w:rsidRPr="00703E38">
        <w:rPr>
          <w:color w:val="000000" w:themeColor="text1"/>
          <w:u w:color="000000" w:themeColor="text1"/>
        </w:rPr>
        <w:t>. For th</w:t>
      </w:r>
      <w:r w:rsidR="006557DC">
        <w:rPr>
          <w:color w:val="000000" w:themeColor="text1"/>
          <w:u w:color="000000" w:themeColor="text1"/>
        </w:rPr>
        <w:t xml:space="preserve">is </w:t>
      </w:r>
      <w:r w:rsidRPr="00703E38">
        <w:rPr>
          <w:color w:val="000000" w:themeColor="text1"/>
          <w:u w:color="000000" w:themeColor="text1"/>
        </w:rPr>
        <w:t xml:space="preserve">fiscal year, any municipality or county subject to a determination of noncompliance by the committee may utilize the refunding procedures provided by this section. If the municipality or county certifies to the committee that the amount previously determined to be in noncompliance has been refunded to the appropriate fund, then any amount withheld from the municipality or county from subsequent allocations must be returned in same amount and manner that it was withheld. </w:t>
      </w:r>
    </w:p>
    <w:p w:rsidR="00F80AA7" w:rsidRPr="00703E38" w:rsidRDefault="00F80AA7" w:rsidP="00F8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3E38">
        <w:rPr>
          <w:color w:val="000000" w:themeColor="text1"/>
          <w:u w:color="000000" w:themeColor="text1"/>
        </w:rPr>
        <w:t>(C)</w:t>
      </w:r>
      <w:r>
        <w:rPr>
          <w:color w:val="000000" w:themeColor="text1"/>
          <w:u w:color="000000" w:themeColor="text1"/>
        </w:rPr>
        <w:tab/>
      </w:r>
      <w:r w:rsidRPr="00703E38">
        <w:rPr>
          <w:color w:val="000000" w:themeColor="text1"/>
          <w:u w:color="000000" w:themeColor="text1"/>
        </w:rPr>
        <w:t xml:space="preserve">The provisions of this section are </w:t>
      </w:r>
      <w:r w:rsidR="006557DC">
        <w:rPr>
          <w:color w:val="000000" w:themeColor="text1"/>
          <w:u w:color="000000" w:themeColor="text1"/>
        </w:rPr>
        <w:t>repealed effective June 30, 2015</w:t>
      </w:r>
      <w:r w:rsidRPr="00703E38">
        <w:rPr>
          <w:color w:val="000000" w:themeColor="text1"/>
          <w:u w:color="000000" w:themeColor="text1"/>
        </w:rPr>
        <w:t xml:space="preserve">.” </w:t>
      </w:r>
    </w:p>
    <w:p w:rsidR="00F80AA7" w:rsidRDefault="00F80AA7" w:rsidP="00F8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F80AA7" w:rsidRDefault="00F80AA7" w:rsidP="00F8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3E38">
        <w:rPr>
          <w:color w:val="000000" w:themeColor="text1"/>
          <w:u w:color="000000" w:themeColor="text1"/>
        </w:rPr>
        <w:t>SECTION</w:t>
      </w:r>
      <w:r w:rsidR="006557DC">
        <w:rPr>
          <w:color w:val="000000" w:themeColor="text1"/>
          <w:u w:color="000000" w:themeColor="text1"/>
        </w:rPr>
        <w:tab/>
      </w:r>
      <w:r w:rsidRPr="00703E38">
        <w:rPr>
          <w:color w:val="000000" w:themeColor="text1"/>
          <w:u w:color="000000" w:themeColor="text1"/>
        </w:rPr>
        <w:t>2.</w:t>
      </w:r>
      <w:r w:rsidR="006557DC">
        <w:rPr>
          <w:color w:val="000000" w:themeColor="text1"/>
          <w:u w:color="000000" w:themeColor="text1"/>
        </w:rPr>
        <w:tab/>
      </w:r>
      <w:r w:rsidRPr="00703E38">
        <w:rPr>
          <w:color w:val="000000" w:themeColor="text1"/>
          <w:u w:color="000000" w:themeColor="text1"/>
        </w:rPr>
        <w:t>This act takes effect upon approval by the Governor</w:t>
      </w:r>
      <w:r w:rsidR="00A53208">
        <w:t>.</w:t>
      </w:r>
    </w:p>
    <w:p w:rsidR="006759C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59CC" w:rsidRDefault="006759CC" w:rsidP="002B508E">
      <w:pPr>
        <w:suppressAutoHyphens/>
      </w:pPr>
    </w:p>
    <w:sectPr w:rsidR="006759CC" w:rsidSect="002B508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208" w:rsidRDefault="00A53208" w:rsidP="009F0C77">
      <w:r>
        <w:separator/>
      </w:r>
    </w:p>
  </w:endnote>
  <w:endnote w:type="continuationSeparator" w:id="0">
    <w:p w:rsidR="00A53208" w:rsidRDefault="00A532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FBFAC5-491F-4D2E-9791-7EE459614FBF}"/>
    <w:embedBold r:id="rId2" w:fontKey="{A071EE18-53FB-47EC-A02C-C02D7043E9E0}"/>
  </w:font>
  <w:font w:name="Calibri">
    <w:panose1 w:val="020F0502020204030204"/>
    <w:charset w:val="00"/>
    <w:family w:val="swiss"/>
    <w:pitch w:val="variable"/>
    <w:sig w:usb0="E10002FF" w:usb1="4000ACFF" w:usb2="00000009" w:usb3="00000000" w:csb0="0000019F" w:csb1="00000000"/>
    <w:embedRegular r:id="rId3" w:fontKey="{4A4FB4A1-AA2D-46A9-8040-C3DE6B104196}"/>
  </w:font>
  <w:font w:name="Cambria">
    <w:panose1 w:val="02040503050406030204"/>
    <w:charset w:val="00"/>
    <w:family w:val="roman"/>
    <w:pitch w:val="variable"/>
    <w:sig w:usb0="E00002FF" w:usb1="400004FF" w:usb2="00000000" w:usb3="00000000" w:csb0="0000019F" w:csb1="00000000"/>
    <w:embedRegular r:id="rId4" w:fontKey="{170E2A34-E877-4F4E-88EC-FE4CE7C584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08E" w:rsidRPr="006759CC" w:rsidRDefault="002B508E" w:rsidP="006759CC">
    <w:pPr>
      <w:pStyle w:val="Footer"/>
      <w:tabs>
        <w:tab w:val="clear" w:pos="4680"/>
        <w:tab w:val="clear" w:pos="9360"/>
        <w:tab w:val="center" w:pos="2995"/>
      </w:tabs>
      <w:spacing w:before="120"/>
    </w:pPr>
    <w:r>
      <w:t>[1051]</w:t>
    </w:r>
    <w:r>
      <w:tab/>
    </w:r>
    <w:r w:rsidR="00DD5B9F">
      <w:fldChar w:fldCharType="begin"/>
    </w:r>
    <w:r w:rsidR="00DD5B9F">
      <w:instrText xml:space="preserve"> PAGE  \* MERGEFORMAT </w:instrText>
    </w:r>
    <w:r w:rsidR="00DD5B9F">
      <w:fldChar w:fldCharType="separate"/>
    </w:r>
    <w:r w:rsidR="00F50324">
      <w:rPr>
        <w:noProof/>
      </w:rPr>
      <w:t>1</w:t>
    </w:r>
    <w:r w:rsidR="00DD5B9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208" w:rsidRDefault="00A53208" w:rsidP="009F0C77">
      <w:r>
        <w:separator/>
      </w:r>
    </w:p>
  </w:footnote>
  <w:footnote w:type="continuationSeparator" w:id="0">
    <w:p w:rsidR="00A53208" w:rsidRDefault="00A532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6087DG14"/>
    <w:docVar w:name="CoverBillType" w:val="b"/>
    <w:docVar w:name="docpath" w:val="L:\Council\bills\BH\26087DG14.DOCX"/>
    <w:docVar w:name="dvBillNumber" w:val="1051"/>
    <w:docVar w:name="dvBillNumberPrefix" w:val="S. "/>
    <w:docVar w:name="dvOriginalBody" w:val="Senate"/>
    <w:docVar w:name="dvSteno" w:val="BH"/>
    <w:docVar w:name="NameofBody" w:val="s"/>
    <w:docVar w:name="vgroup2" w:val="Council"/>
  </w:docVars>
  <w:rsids>
    <w:rsidRoot w:val="00C30FAF"/>
    <w:rsid w:val="00026C9A"/>
    <w:rsid w:val="000965A1"/>
    <w:rsid w:val="000D729B"/>
    <w:rsid w:val="000E1785"/>
    <w:rsid w:val="000E4F6D"/>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508E"/>
    <w:rsid w:val="00325348"/>
    <w:rsid w:val="00367A67"/>
    <w:rsid w:val="00393688"/>
    <w:rsid w:val="003A1CCB"/>
    <w:rsid w:val="003D411E"/>
    <w:rsid w:val="003E3C1E"/>
    <w:rsid w:val="003E6148"/>
    <w:rsid w:val="00400EAA"/>
    <w:rsid w:val="0041760A"/>
    <w:rsid w:val="004809EE"/>
    <w:rsid w:val="004A73B2"/>
    <w:rsid w:val="00511EE9"/>
    <w:rsid w:val="00521E00"/>
    <w:rsid w:val="00577C6C"/>
    <w:rsid w:val="0058501B"/>
    <w:rsid w:val="005F7FD5"/>
    <w:rsid w:val="006215AA"/>
    <w:rsid w:val="006340D9"/>
    <w:rsid w:val="00643B8E"/>
    <w:rsid w:val="006557DC"/>
    <w:rsid w:val="00665EBC"/>
    <w:rsid w:val="006759CC"/>
    <w:rsid w:val="0069470D"/>
    <w:rsid w:val="006A476C"/>
    <w:rsid w:val="006B1D87"/>
    <w:rsid w:val="006C6A93"/>
    <w:rsid w:val="006E02F9"/>
    <w:rsid w:val="006E0881"/>
    <w:rsid w:val="006E5E9B"/>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53208"/>
    <w:rsid w:val="00A64E80"/>
    <w:rsid w:val="00A741D9"/>
    <w:rsid w:val="00A92BE9"/>
    <w:rsid w:val="00A9741D"/>
    <w:rsid w:val="00AD4B17"/>
    <w:rsid w:val="00B26FA6"/>
    <w:rsid w:val="00B5357B"/>
    <w:rsid w:val="00B741CB"/>
    <w:rsid w:val="00B934F3"/>
    <w:rsid w:val="00BB6347"/>
    <w:rsid w:val="00BD2134"/>
    <w:rsid w:val="00BE4A62"/>
    <w:rsid w:val="00C02FAF"/>
    <w:rsid w:val="00C038D8"/>
    <w:rsid w:val="00C045DD"/>
    <w:rsid w:val="00C30FAF"/>
    <w:rsid w:val="00C3136F"/>
    <w:rsid w:val="00C3483A"/>
    <w:rsid w:val="00C66BF7"/>
    <w:rsid w:val="00C74E9D"/>
    <w:rsid w:val="00C82FD3"/>
    <w:rsid w:val="00CC6B7B"/>
    <w:rsid w:val="00CD3619"/>
    <w:rsid w:val="00CF4447"/>
    <w:rsid w:val="00D405E7"/>
    <w:rsid w:val="00D41D56"/>
    <w:rsid w:val="00D6260D"/>
    <w:rsid w:val="00D6662B"/>
    <w:rsid w:val="00D95E2F"/>
    <w:rsid w:val="00D970A9"/>
    <w:rsid w:val="00DB3AC0"/>
    <w:rsid w:val="00DD5B9F"/>
    <w:rsid w:val="00DE68F0"/>
    <w:rsid w:val="00DF3845"/>
    <w:rsid w:val="00DF7E17"/>
    <w:rsid w:val="00EB00A2"/>
    <w:rsid w:val="00EB1BF3"/>
    <w:rsid w:val="00EF3EEE"/>
    <w:rsid w:val="00F149A7"/>
    <w:rsid w:val="00F50324"/>
    <w:rsid w:val="00F50BAF"/>
    <w:rsid w:val="00F52C10"/>
    <w:rsid w:val="00F80AA7"/>
    <w:rsid w:val="00F81FFD"/>
    <w:rsid w:val="00F85228"/>
    <w:rsid w:val="00FB3B8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8273F82-05C5-4214-82C4-71AD7E150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B50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2-25-14.docx" TargetMode="External"/><Relationship Id="rId3" Type="http://schemas.openxmlformats.org/officeDocument/2006/relationships/settings" Target="settings.xml"/><Relationship Id="rId7" Type="http://schemas.openxmlformats.org/officeDocument/2006/relationships/hyperlink" Target="file:///H:\SJ%20Archive\2014\02-25-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051_2014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5C91C-8FEC-45C8-B9FF-2C234BBFA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572</Words>
  <Characters>3262</Characters>
  <Application>Microsoft Office Word</Application>
  <DocSecurity>0</DocSecurity>
  <Lines>27</Lines>
  <Paragraphs>7</Paragraphs>
  <ScaleCrop>false</ScaleCrop>
  <Company> </Company>
  <LinksUpToDate>false</LinksUpToDate>
  <CharactersWithSpaces>3827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1051: Tourism Expenditure Review Committee - South Carolina Legislature Online</dc:title>
  <dc:subject/>
  <dc:creator>%USERNAME%</dc:creator>
  <cp:keywords/>
  <dc:description/>
  <cp:lastModifiedBy>N Cumfer</cp:lastModifiedBy>
  <cp:revision>8</cp:revision>
  <dcterms:created xsi:type="dcterms:W3CDTF">2014-02-25T18:45:00Z</dcterms:created>
  <dcterms:modified xsi:type="dcterms:W3CDTF">2014-12-04T21:58:00Z</dcterms:modified>
</cp:coreProperties>
</file>