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5EDF" w:rsidRDefault="00CF5EDF" w:rsidP="00CF5EDF">
      <w:pPr>
        <w:widowControl w:val="0"/>
        <w:jc w:val="center"/>
      </w:pPr>
      <w:r w:rsidRPr="00CF5EDF">
        <w:rPr>
          <w:b/>
        </w:rPr>
        <w:t>South Carolina General Assembly</w:t>
      </w:r>
    </w:p>
    <w:p w:rsidR="00CF5EDF" w:rsidRDefault="00CF5EDF" w:rsidP="00CF5EDF">
      <w:pPr>
        <w:widowControl w:val="0"/>
        <w:jc w:val="center"/>
      </w:pPr>
      <w:r>
        <w:t>120th Session, 2013-2014</w:t>
      </w:r>
    </w:p>
    <w:p w:rsidR="00CF5EDF" w:rsidRDefault="00CF5EDF" w:rsidP="00CF5EDF">
      <w:pPr>
        <w:widowControl w:val="0"/>
      </w:pPr>
    </w:p>
    <w:p w:rsidR="00CF5EDF" w:rsidRDefault="00CF5EDF" w:rsidP="00CF5EDF">
      <w:pPr>
        <w:widowControl w:val="0"/>
        <w:rPr>
          <w:b/>
        </w:rPr>
      </w:pPr>
      <w:r w:rsidRPr="00CF5EDF">
        <w:rPr>
          <w:b/>
        </w:rPr>
        <w:t>S.</w:t>
      </w:r>
      <w:r>
        <w:rPr>
          <w:b/>
        </w:rPr>
        <w:t xml:space="preserve"> </w:t>
      </w:r>
      <w:r w:rsidRPr="00CF5EDF">
        <w:rPr>
          <w:b/>
        </w:rPr>
        <w:t>1230</w:t>
      </w:r>
    </w:p>
    <w:p w:rsidR="00CF5EDF" w:rsidRDefault="00CF5EDF" w:rsidP="00CF5EDF">
      <w:pPr>
        <w:widowControl w:val="0"/>
        <w:rPr>
          <w:b/>
        </w:rPr>
      </w:pPr>
    </w:p>
    <w:p w:rsidR="00CF5EDF" w:rsidRDefault="00CF5EDF" w:rsidP="00CF5EDF">
      <w:pPr>
        <w:widowControl w:val="0"/>
      </w:pPr>
      <w:r w:rsidRPr="00CF5EDF">
        <w:rPr>
          <w:b/>
        </w:rPr>
        <w:t>STATUS INFORMATION</w:t>
      </w:r>
    </w:p>
    <w:p w:rsidR="00CF5EDF" w:rsidRDefault="00CF5EDF" w:rsidP="00CF5EDF">
      <w:pPr>
        <w:widowControl w:val="0"/>
      </w:pPr>
    </w:p>
    <w:p w:rsidR="00CF5EDF" w:rsidRDefault="00CF5EDF" w:rsidP="00CF5EDF">
      <w:pPr>
        <w:widowControl w:val="0"/>
      </w:pPr>
      <w:r>
        <w:t>General Bill</w:t>
      </w:r>
    </w:p>
    <w:p w:rsidR="00CF5EDF" w:rsidRDefault="00EF4109" w:rsidP="00CF5EDF">
      <w:pPr>
        <w:widowControl w:val="0"/>
      </w:pPr>
      <w:r>
        <w:t>Sponsors: Senators Bennett, Campbell, Hembree and Rankin</w:t>
      </w:r>
    </w:p>
    <w:p w:rsidR="00CF5EDF" w:rsidRDefault="00CF5EDF" w:rsidP="00CF5EDF">
      <w:pPr>
        <w:widowControl w:val="0"/>
      </w:pPr>
      <w:r>
        <w:t>Document Path: l:\s-jud\bills\bennett\jud0109.kw.docx</w:t>
      </w:r>
    </w:p>
    <w:p w:rsidR="00B97343" w:rsidRDefault="00B97343" w:rsidP="00CF5EDF">
      <w:pPr>
        <w:widowControl w:val="0"/>
      </w:pPr>
      <w:r>
        <w:t>Companion/Similar bill(s): 5153</w:t>
      </w:r>
    </w:p>
    <w:p w:rsidR="00CF5EDF" w:rsidRDefault="00CF5EDF" w:rsidP="00CF5EDF">
      <w:pPr>
        <w:widowControl w:val="0"/>
      </w:pPr>
    </w:p>
    <w:p w:rsidR="00CF5EDF" w:rsidRDefault="00CF5EDF" w:rsidP="00CF5EDF">
      <w:pPr>
        <w:widowControl w:val="0"/>
      </w:pPr>
      <w:r>
        <w:t>Introduced in the Senate on April 16, 2014</w:t>
      </w:r>
    </w:p>
    <w:p w:rsidR="00CF5EDF" w:rsidRDefault="00CF5EDF" w:rsidP="00CF5EDF">
      <w:pPr>
        <w:widowControl w:val="0"/>
      </w:pPr>
      <w:r>
        <w:t xml:space="preserve">Currently residing in the Senate Committee on </w:t>
      </w:r>
      <w:r w:rsidRPr="00CF5EDF">
        <w:rPr>
          <w:b/>
        </w:rPr>
        <w:t>Judiciary</w:t>
      </w:r>
    </w:p>
    <w:p w:rsidR="00CF5EDF" w:rsidRDefault="00CF5EDF" w:rsidP="00CF5EDF">
      <w:pPr>
        <w:widowControl w:val="0"/>
      </w:pPr>
    </w:p>
    <w:p w:rsidR="00CF5EDF" w:rsidRDefault="00CF5EDF" w:rsidP="00CF5EDF">
      <w:pPr>
        <w:widowControl w:val="0"/>
      </w:pPr>
      <w:r>
        <w:t xml:space="preserve">Summary: </w:t>
      </w:r>
      <w:r w:rsidR="00076F12">
        <w:t>Alcoholic beverages</w:t>
      </w:r>
    </w:p>
    <w:p w:rsidR="00CF5EDF" w:rsidRDefault="00CF5EDF" w:rsidP="00CF5EDF">
      <w:pPr>
        <w:widowControl w:val="0"/>
      </w:pPr>
    </w:p>
    <w:p w:rsidR="00CF5EDF" w:rsidRDefault="00CF5EDF" w:rsidP="00CF5EDF">
      <w:pPr>
        <w:widowControl w:val="0"/>
      </w:pPr>
    </w:p>
    <w:p w:rsidR="00CF5EDF" w:rsidRDefault="00CF5EDF" w:rsidP="00CF5EDF">
      <w:pPr>
        <w:widowControl w:val="0"/>
        <w:tabs>
          <w:tab w:val="center" w:pos="590"/>
          <w:tab w:val="center" w:pos="1440"/>
          <w:tab w:val="left" w:pos="1872"/>
          <w:tab w:val="left" w:pos="9187"/>
        </w:tabs>
      </w:pPr>
      <w:r w:rsidRPr="00CF5EDF">
        <w:rPr>
          <w:b/>
        </w:rPr>
        <w:t>HISTORY OF LEGISLATIVE ACTIONS</w:t>
      </w:r>
    </w:p>
    <w:p w:rsidR="00CF5EDF" w:rsidRDefault="00CF5EDF" w:rsidP="00CF5EDF">
      <w:pPr>
        <w:widowControl w:val="0"/>
        <w:tabs>
          <w:tab w:val="center" w:pos="590"/>
          <w:tab w:val="center" w:pos="1440"/>
          <w:tab w:val="left" w:pos="1872"/>
          <w:tab w:val="left" w:pos="9187"/>
        </w:tabs>
      </w:pPr>
    </w:p>
    <w:p w:rsidR="00CF5EDF" w:rsidRPr="00CF5EDF" w:rsidRDefault="00CF5EDF" w:rsidP="00CF5EDF">
      <w:pPr>
        <w:widowControl w:val="0"/>
        <w:tabs>
          <w:tab w:val="center" w:pos="590"/>
          <w:tab w:val="center" w:pos="1440"/>
          <w:tab w:val="left" w:pos="1872"/>
          <w:tab w:val="left" w:pos="9187"/>
        </w:tabs>
      </w:pPr>
      <w:bookmarkStart w:id="0" w:name="_GoBack"/>
      <w:r w:rsidRPr="00CF5EDF">
        <w:rPr>
          <w:u w:val="single"/>
        </w:rPr>
        <w:tab/>
        <w:t>Date</w:t>
      </w:r>
      <w:r w:rsidRPr="00CF5EDF">
        <w:rPr>
          <w:u w:val="single"/>
        </w:rPr>
        <w:tab/>
        <w:t>Body</w:t>
      </w:r>
      <w:r w:rsidRPr="00CF5EDF">
        <w:rPr>
          <w:u w:val="single"/>
        </w:rPr>
        <w:tab/>
        <w:t>Action Description with journal page number</w:t>
      </w:r>
      <w:r w:rsidRPr="00CF5EDF">
        <w:rPr>
          <w:u w:val="single"/>
        </w:rPr>
        <w:tab/>
      </w:r>
      <w:bookmarkEnd w:id="0"/>
    </w:p>
    <w:p w:rsidR="00821A4C" w:rsidRDefault="00821A4C" w:rsidP="00821A4C">
      <w:pPr>
        <w:widowControl w:val="0"/>
        <w:tabs>
          <w:tab w:val="right" w:pos="1008"/>
          <w:tab w:val="left" w:pos="1152"/>
          <w:tab w:val="left" w:pos="1872"/>
          <w:tab w:val="left" w:pos="9187"/>
        </w:tabs>
        <w:ind w:left="2088" w:hanging="2088"/>
      </w:pPr>
      <w:r>
        <w:tab/>
        <w:t>4/16/2014</w:t>
      </w:r>
      <w:r>
        <w:tab/>
        <w:t>Senate</w:t>
      </w:r>
      <w:r>
        <w:tab/>
      </w:r>
      <w:r w:rsidRPr="006E40DC">
        <w:t>Introduced and read first time (</w:t>
      </w:r>
      <w:hyperlink r:id="rId6" w:history="1">
        <w:r w:rsidRPr="006E40DC">
          <w:rPr>
            <w:rStyle w:val="Hyperlink"/>
          </w:rPr>
          <w:t>Senate Journal</w:t>
        </w:r>
        <w:r w:rsidRPr="006E40DC">
          <w:rPr>
            <w:rStyle w:val="Hyperlink"/>
          </w:rPr>
          <w:noBreakHyphen/>
          <w:t>page 4</w:t>
        </w:r>
      </w:hyperlink>
      <w:r w:rsidRPr="006E40DC">
        <w:t>)</w:t>
      </w:r>
    </w:p>
    <w:p w:rsidR="00821A4C" w:rsidRDefault="00821A4C" w:rsidP="00821A4C">
      <w:pPr>
        <w:widowControl w:val="0"/>
        <w:tabs>
          <w:tab w:val="right" w:pos="1008"/>
          <w:tab w:val="left" w:pos="1152"/>
          <w:tab w:val="left" w:pos="1872"/>
          <w:tab w:val="left" w:pos="9187"/>
        </w:tabs>
        <w:ind w:left="2088" w:hanging="2088"/>
      </w:pPr>
      <w:r>
        <w:tab/>
        <w:t>4/16/2014</w:t>
      </w:r>
      <w:r>
        <w:tab/>
        <w:t>Senate</w:t>
      </w:r>
      <w:r>
        <w:tab/>
      </w:r>
      <w:r w:rsidRPr="006E40DC">
        <w:t>Ref</w:t>
      </w:r>
      <w:r>
        <w:t xml:space="preserve">erred to Committee on </w:t>
      </w:r>
      <w:r w:rsidRPr="006E40DC">
        <w:rPr>
          <w:b/>
        </w:rPr>
        <w:t>Judiciary</w:t>
      </w:r>
      <w:r>
        <w:t xml:space="preserve"> </w:t>
      </w:r>
      <w:r w:rsidRPr="006E40DC">
        <w:t>(</w:t>
      </w:r>
      <w:hyperlink r:id="rId7" w:history="1">
        <w:r w:rsidRPr="006E40DC">
          <w:rPr>
            <w:rStyle w:val="Hyperlink"/>
          </w:rPr>
          <w:t>Senate Journal</w:t>
        </w:r>
        <w:r w:rsidRPr="006E40DC">
          <w:rPr>
            <w:rStyle w:val="Hyperlink"/>
          </w:rPr>
          <w:noBreakHyphen/>
          <w:t>page 4</w:t>
        </w:r>
      </w:hyperlink>
      <w:r w:rsidRPr="006E40DC">
        <w:t>)</w:t>
      </w:r>
    </w:p>
    <w:p w:rsidR="00821A4C" w:rsidRDefault="00821A4C" w:rsidP="00821A4C">
      <w:pPr>
        <w:widowControl w:val="0"/>
        <w:tabs>
          <w:tab w:val="right" w:pos="1008"/>
          <w:tab w:val="left" w:pos="1152"/>
          <w:tab w:val="left" w:pos="1872"/>
          <w:tab w:val="left" w:pos="9187"/>
        </w:tabs>
        <w:ind w:left="2088" w:hanging="2088"/>
      </w:pPr>
      <w:r>
        <w:tab/>
        <w:t>5/2/2014</w:t>
      </w:r>
      <w:r>
        <w:tab/>
        <w:t>Senate</w:t>
      </w:r>
      <w:r>
        <w:tab/>
      </w:r>
      <w:r w:rsidRPr="006E40DC">
        <w:t>Referred to Subcommittee: Rankin (ch), Hutto, Bennett</w:t>
      </w:r>
    </w:p>
    <w:p w:rsidR="00821A4C" w:rsidRDefault="00821A4C" w:rsidP="00821A4C">
      <w:pPr>
        <w:widowControl w:val="0"/>
        <w:tabs>
          <w:tab w:val="right" w:pos="1008"/>
          <w:tab w:val="left" w:pos="1152"/>
          <w:tab w:val="left" w:pos="1872"/>
          <w:tab w:val="left" w:pos="9187"/>
        </w:tabs>
        <w:ind w:left="2088" w:hanging="2088"/>
      </w:pPr>
    </w:p>
    <w:p w:rsidR="00CF5EDF" w:rsidRPr="00CF5EDF" w:rsidRDefault="00CF5EDF" w:rsidP="00CF5EDF">
      <w:pPr>
        <w:widowControl w:val="0"/>
        <w:tabs>
          <w:tab w:val="right" w:pos="1008"/>
          <w:tab w:val="left" w:pos="1152"/>
          <w:tab w:val="left" w:pos="1872"/>
          <w:tab w:val="left" w:pos="9187"/>
        </w:tabs>
        <w:ind w:left="2088" w:hanging="2088"/>
      </w:pPr>
    </w:p>
    <w:p w:rsidR="00CF5EDF" w:rsidRDefault="00CF5EDF" w:rsidP="00CF5EDF">
      <w:pPr>
        <w:widowControl w:val="0"/>
      </w:pPr>
      <w:r w:rsidRPr="00CF5EDF">
        <w:rPr>
          <w:b/>
        </w:rPr>
        <w:t>VERSIONS OF THIS BILL</w:t>
      </w:r>
    </w:p>
    <w:p w:rsidR="00CF5EDF" w:rsidRDefault="00CF5EDF" w:rsidP="00CF5EDF">
      <w:pPr>
        <w:widowControl w:val="0"/>
      </w:pPr>
    </w:p>
    <w:p w:rsidR="00CF5EDF" w:rsidRDefault="00B632BD" w:rsidP="00CF5EDF">
      <w:pPr>
        <w:widowControl w:val="0"/>
      </w:pPr>
      <w:hyperlink r:id="rId8" w:history="1">
        <w:r w:rsidR="00CF5EDF">
          <w:rPr>
            <w:rStyle w:val="Hyperlink"/>
          </w:rPr>
          <w:t>4/16/2014</w:t>
        </w:r>
      </w:hyperlink>
    </w:p>
    <w:p w:rsidR="00CF5EDF" w:rsidRDefault="00CF5EDF" w:rsidP="00CF5EDF"/>
    <w:p w:rsidR="00CF5EDF" w:rsidRDefault="00CF5EDF" w:rsidP="00CF5EDF">
      <w:pPr>
        <w:sectPr w:rsidR="00CF5EDF" w:rsidSect="00CF5EDF">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D3BB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6450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F1AE6">
        <w:rPr>
          <w:rFonts w:eastAsia="Calibri"/>
          <w:color w:val="000000"/>
          <w:u w:color="000000"/>
        </w:rPr>
        <w:t xml:space="preserve">TO AMEND CHAPTER 2, TITLE 61, </w:t>
      </w:r>
      <w:r w:rsidR="00556C65">
        <w:rPr>
          <w:rFonts w:eastAsia="Calibri"/>
          <w:color w:val="000000"/>
          <w:u w:color="000000"/>
        </w:rPr>
        <w:t xml:space="preserve">SOUTH CAROLINA CODE OF LAWS, 1976, </w:t>
      </w:r>
      <w:r w:rsidRPr="00BF1AE6">
        <w:rPr>
          <w:rFonts w:eastAsia="Calibri"/>
          <w:color w:val="000000"/>
          <w:u w:color="000000"/>
        </w:rPr>
        <w:t>RELATING TO GENERAL PROVISIONS CONCERNING ALCOHOL AND ALCOHOLIC BEVERAGES, SO AS TO DELETE THE REQUIREMENT THAT AN APPLICANT FOR A</w:t>
      </w:r>
      <w:r w:rsidR="00556C65">
        <w:rPr>
          <w:rFonts w:eastAsia="Calibri"/>
          <w:color w:val="000000"/>
          <w:u w:color="000000"/>
        </w:rPr>
        <w:t>N</w:t>
      </w:r>
      <w:r w:rsidRPr="00BF1AE6">
        <w:rPr>
          <w:rFonts w:eastAsia="Calibri"/>
          <w:color w:val="000000"/>
          <w:u w:color="000000"/>
        </w:rPr>
        <w:t xml:space="preserve"> ALCOHOLIC BEVERAGE LICENSE OR PERMIT MUST BE A LEGAL RESIDENT OF THE STATE FOR THIRTY DAYS PRIOR TO APPLYING, AND TO AMEND ARTICLE 17, CHAPTER</w:t>
      </w:r>
      <w:r w:rsidR="00556C65">
        <w:rPr>
          <w:rFonts w:eastAsia="Calibri"/>
          <w:color w:val="000000"/>
          <w:u w:color="000000"/>
        </w:rPr>
        <w:t xml:space="preserve"> 4, TITLE 61 OF THE 1976 CODE, </w:t>
      </w:r>
      <w:r w:rsidRPr="00BF1AE6">
        <w:rPr>
          <w:rFonts w:eastAsia="Calibri"/>
          <w:color w:val="000000"/>
          <w:u w:color="000000"/>
        </w:rPr>
        <w:t>RELATING TO BREWPUBS, SO AS TO PROVIDE FOR THE DISTRIBUTION OF PRODUCTS</w:t>
      </w:r>
      <w:r w:rsidR="00556C65">
        <w:rPr>
          <w:rFonts w:eastAsia="Calibri"/>
          <w:color w:val="000000"/>
          <w:u w:color="000000"/>
        </w:rPr>
        <w:t xml:space="preserve"> PRODUCED BY BREWPUB PERMITTEES,</w:t>
      </w:r>
      <w:r w:rsidRPr="00BF1AE6">
        <w:rPr>
          <w:rFonts w:eastAsia="Calibri"/>
          <w:color w:val="000000"/>
          <w:u w:color="000000"/>
        </w:rPr>
        <w:t xml:space="preserve"> TO DEFINE A PER</w:t>
      </w:r>
      <w:r w:rsidR="00556C65">
        <w:rPr>
          <w:rFonts w:eastAsia="Calibri"/>
          <w:color w:val="000000"/>
          <w:u w:color="000000"/>
        </w:rPr>
        <w:t>MITTEE WHO MAY HOLD SUCH PERMIT,</w:t>
      </w:r>
      <w:r w:rsidRPr="00BF1AE6">
        <w:rPr>
          <w:rFonts w:eastAsia="Calibri"/>
          <w:color w:val="000000"/>
          <w:u w:color="000000"/>
        </w:rPr>
        <w:t xml:space="preserve"> TO ALLOW FOR CONSUMPTION ONLY ON THE PERMITTED PREM</w:t>
      </w:r>
      <w:r w:rsidR="00556C65">
        <w:rPr>
          <w:rFonts w:eastAsia="Calibri"/>
          <w:color w:val="000000"/>
          <w:u w:color="000000"/>
        </w:rPr>
        <w:t>ISES WHERE THE BEER IS PRODUCED,</w:t>
      </w:r>
      <w:r w:rsidRPr="00BF1AE6">
        <w:rPr>
          <w:rFonts w:eastAsia="Calibri"/>
          <w:color w:val="000000"/>
          <w:u w:color="000000"/>
        </w:rPr>
        <w:t xml:space="preserve"> TO ALLOW FOR THE PRODUCTION ON THE PERMITTED PREMISES OF A MAXIMUM OF FIVE HUNDRED THOUSAND BA</w:t>
      </w:r>
      <w:r w:rsidR="00556C65">
        <w:rPr>
          <w:rFonts w:eastAsia="Calibri"/>
          <w:color w:val="000000"/>
          <w:u w:color="000000"/>
        </w:rPr>
        <w:t>RRELS OF BEER FOR SALE PER YEAR,</w:t>
      </w:r>
      <w:r w:rsidRPr="00BF1AE6">
        <w:rPr>
          <w:rFonts w:eastAsia="Calibri"/>
          <w:color w:val="000000"/>
          <w:u w:color="000000"/>
        </w:rPr>
        <w:t xml:space="preserve"> AND TO ALLOW BREWPUB PERMITTEES TO SELL BEER TO LICENSED WHOLESALERS IN SOUTH CAROLINA AND NONRESIDENT WHOLESALERS AND EXPORTERS</w:t>
      </w:r>
      <w:r>
        <w:rPr>
          <w:color w:val="000000" w:themeColor="text1"/>
          <w:u w:color="000000" w:themeColor="text1"/>
        </w:rPr>
        <w:t>.</w:t>
      </w:r>
    </w:p>
    <w:p w:rsidR="002D3BB9" w:rsidRDefault="002D3B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D3BB9" w:rsidRDefault="002D3B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D3BB9" w:rsidRDefault="002D3B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450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SECTION</w:t>
      </w:r>
      <w:r>
        <w:rPr>
          <w:rFonts w:eastAsia="Calibri"/>
          <w:color w:val="000000"/>
          <w:u w:color="000000"/>
        </w:rPr>
        <w:tab/>
        <w:t>1.</w:t>
      </w:r>
      <w:r w:rsidRPr="00D44261">
        <w:rPr>
          <w:rFonts w:eastAsia="Calibri"/>
          <w:color w:val="000000"/>
          <w:u w:color="000000"/>
        </w:rPr>
        <w:tab/>
        <w:t>Section 61</w:t>
      </w:r>
      <w:r w:rsidRPr="00D44261">
        <w:rPr>
          <w:color w:val="000000" w:themeColor="text1"/>
          <w:u w:color="000000" w:themeColor="text1"/>
        </w:rPr>
        <w:noBreakHyphen/>
      </w:r>
      <w:r w:rsidRPr="00D44261">
        <w:rPr>
          <w:rFonts w:eastAsia="Calibri"/>
          <w:color w:val="000000"/>
          <w:u w:color="000000"/>
        </w:rPr>
        <w:t>2</w:t>
      </w:r>
      <w:r w:rsidRPr="00D44261">
        <w:rPr>
          <w:color w:val="000000" w:themeColor="text1"/>
          <w:u w:color="000000" w:themeColor="text1"/>
        </w:rPr>
        <w:noBreakHyphen/>
      </w:r>
      <w:r w:rsidRPr="00D44261">
        <w:rPr>
          <w:rFonts w:eastAsia="Calibri"/>
          <w:color w:val="000000"/>
          <w:u w:color="000000"/>
        </w:rPr>
        <w:t>90 of the 1976 Code is amended to read:</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r>
      <w:r w:rsidRPr="00D44261">
        <w:rPr>
          <w:color w:val="000000" w:themeColor="text1"/>
          <w:u w:color="000000" w:themeColor="text1"/>
        </w:rPr>
        <w:t>“</w:t>
      </w:r>
      <w:r w:rsidRPr="00D44261">
        <w:rPr>
          <w:rFonts w:eastAsia="Calibri"/>
          <w:color w:val="000000"/>
          <w:u w:color="000000"/>
        </w:rPr>
        <w:t>Section 61</w:t>
      </w:r>
      <w:r w:rsidRPr="00D44261">
        <w:rPr>
          <w:color w:val="000000" w:themeColor="text1"/>
          <w:u w:color="000000" w:themeColor="text1"/>
        </w:rPr>
        <w:noBreakHyphen/>
      </w:r>
      <w:r w:rsidRPr="00D44261">
        <w:rPr>
          <w:rFonts w:eastAsia="Calibri"/>
          <w:color w:val="000000"/>
          <w:u w:color="000000"/>
        </w:rPr>
        <w:t>2</w:t>
      </w:r>
      <w:r w:rsidRPr="00D44261">
        <w:rPr>
          <w:color w:val="000000" w:themeColor="text1"/>
          <w:u w:color="000000" w:themeColor="text1"/>
        </w:rPr>
        <w:noBreakHyphen/>
      </w:r>
      <w:r w:rsidRPr="00D44261">
        <w:rPr>
          <w:rFonts w:eastAsia="Calibri"/>
          <w:color w:val="000000"/>
          <w:u w:color="000000"/>
        </w:rPr>
        <w:t>90.</w:t>
      </w:r>
      <w:r w:rsidRPr="00D44261">
        <w:rPr>
          <w:rFonts w:eastAsia="Calibri"/>
          <w:color w:val="000000"/>
          <w:u w:color="000000"/>
        </w:rPr>
        <w:tab/>
        <w:t>A person desiring a license or permit under this title must file with the department an application in writing on forms provided by the department containing a statement under oath setting forth:</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lastRenderedPageBreak/>
        <w:tab/>
        <w:t>(1)</w:t>
      </w:r>
      <w:r>
        <w:rPr>
          <w:rFonts w:eastAsia="Calibri"/>
          <w:color w:val="000000"/>
          <w:u w:color="000000"/>
        </w:rPr>
        <w:tab/>
      </w:r>
      <w:r w:rsidRPr="00D44261">
        <w:rPr>
          <w:rFonts w:eastAsia="Calibri"/>
          <w:color w:val="000000"/>
          <w:u w:color="000000"/>
        </w:rPr>
        <w:t>the name, address, date of birth, race, and nationality of the person applying for the license or permit;</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(2)</w:t>
      </w:r>
      <w:r>
        <w:rPr>
          <w:rFonts w:eastAsia="Calibri"/>
          <w:color w:val="000000"/>
          <w:u w:color="000000"/>
        </w:rPr>
        <w:tab/>
      </w:r>
      <w:r w:rsidRPr="00D44261">
        <w:rPr>
          <w:rFonts w:eastAsia="Calibri"/>
          <w:color w:val="000000"/>
          <w:u w:color="000000"/>
        </w:rPr>
        <w:t>the exact location where the business is proposed to be operated;</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(3)</w:t>
      </w:r>
      <w:r>
        <w:rPr>
          <w:rFonts w:eastAsia="Calibri"/>
          <w:color w:val="000000"/>
          <w:u w:color="000000"/>
        </w:rPr>
        <w:tab/>
      </w:r>
      <w:r w:rsidRPr="00D44261">
        <w:rPr>
          <w:rFonts w:eastAsia="Calibri"/>
          <w:color w:val="000000"/>
          <w:u w:color="000000"/>
        </w:rPr>
        <w:t>a description of the type of business to be operated;</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(4)</w:t>
      </w:r>
      <w:r>
        <w:rPr>
          <w:rFonts w:eastAsia="Calibri"/>
          <w:color w:val="000000"/>
          <w:u w:color="000000"/>
        </w:rPr>
        <w:tab/>
      </w:r>
      <w:r w:rsidRPr="00D44261">
        <w:rPr>
          <w:rFonts w:eastAsia="Calibri"/>
          <w:color w:val="000000"/>
          <w:u w:color="000000"/>
        </w:rPr>
        <w:t xml:space="preserve">whether the applicant or an owner of the business has been involved in the sale of alcoholic liquors, beer, or wine in this or another state and whether </w:t>
      </w:r>
      <w:r w:rsidRPr="00D44261">
        <w:rPr>
          <w:rFonts w:eastAsia="Calibri"/>
          <w:strike/>
          <w:color w:val="000000"/>
          <w:u w:color="000000"/>
        </w:rPr>
        <w:t>he</w:t>
      </w:r>
      <w:r w:rsidRPr="00D44261">
        <w:rPr>
          <w:rFonts w:eastAsia="Calibri"/>
          <w:color w:val="000000"/>
          <w:u w:color="000000"/>
        </w:rPr>
        <w:t xml:space="preserve"> </w:t>
      </w:r>
      <w:r w:rsidRPr="00D44261">
        <w:rPr>
          <w:rFonts w:eastAsia="Calibri"/>
          <w:color w:val="000000"/>
          <w:u w:val="single" w:color="000000"/>
        </w:rPr>
        <w:t>the applicant or owner</w:t>
      </w:r>
      <w:r w:rsidRPr="00D44261">
        <w:rPr>
          <w:rFonts w:eastAsia="Calibri"/>
          <w:color w:val="000000"/>
          <w:u w:color="000000"/>
        </w:rPr>
        <w:t xml:space="preserve"> has had a license or permit suspended or revoked;</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t>(5)</w:t>
      </w:r>
      <w:r>
        <w:rPr>
          <w:rFonts w:eastAsia="Calibri"/>
          <w:color w:val="000000"/>
          <w:u w:color="000000"/>
        </w:rPr>
        <w:tab/>
      </w:r>
      <w:r w:rsidRPr="00D44261">
        <w:rPr>
          <w:rFonts w:eastAsia="Calibri"/>
          <w:strike/>
          <w:color w:val="000000"/>
          <w:u w:color="000000"/>
        </w:rPr>
        <w:t>whether the applicant has been a legal resident of this State for at least thirty days before the date of application, and has maintained his principal place of abode in the State for at least thirty days before the date of application;</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r>
      <w:r w:rsidRPr="00D44261">
        <w:rPr>
          <w:rFonts w:eastAsia="Calibri"/>
          <w:strike/>
          <w:color w:val="000000"/>
          <w:u w:color="000000"/>
        </w:rPr>
        <w:t>(6)</w:t>
      </w:r>
      <w:r>
        <w:rPr>
          <w:rFonts w:eastAsia="Calibri"/>
          <w:color w:val="000000"/>
          <w:u w:color="000000"/>
        </w:rPr>
        <w:tab/>
      </w:r>
      <w:r w:rsidRPr="00D44261">
        <w:rPr>
          <w:rFonts w:eastAsia="Calibri"/>
          <w:color w:val="000000"/>
          <w:u w:color="000000"/>
        </w:rPr>
        <w:t>other information required by the department to determine if the application meets all statutory requirements for the license or permit and to determine the true owners of the business seeking the license or permit.</w:t>
      </w:r>
      <w:r w:rsidRPr="00D44261">
        <w:rPr>
          <w:color w:val="000000" w:themeColor="text1"/>
          <w:u w:color="000000" w:themeColor="text1"/>
        </w:rPr>
        <w:t>”</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SECTION</w:t>
      </w:r>
      <w:r w:rsidRPr="00D44261">
        <w:rPr>
          <w:rFonts w:eastAsia="Calibri"/>
          <w:color w:val="000000"/>
          <w:u w:color="000000"/>
        </w:rPr>
        <w:tab/>
        <w:t>2.</w:t>
      </w:r>
      <w:r w:rsidRPr="00D44261">
        <w:rPr>
          <w:rFonts w:eastAsia="Calibri"/>
          <w:color w:val="000000"/>
          <w:u w:color="000000"/>
        </w:rPr>
        <w:tab/>
        <w:t>Article 17, Chapter 4, Title 61 of the 1976 Code is amended to read:</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Pr>
          <w:color w:val="000000" w:themeColor="text1"/>
          <w:u w:color="000000" w:themeColor="text1"/>
        </w:rPr>
        <w:t>“</w:t>
      </w:r>
      <w:r w:rsidRPr="00D44261">
        <w:rPr>
          <w:rFonts w:eastAsia="Calibri"/>
          <w:color w:val="000000"/>
          <w:u w:color="000000"/>
        </w:rPr>
        <w:t>Article 17</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sidRPr="00D44261">
        <w:rPr>
          <w:rFonts w:eastAsia="Calibri"/>
          <w:color w:val="000000"/>
          <w:u w:color="000000"/>
        </w:rPr>
        <w:t>Brewpubs</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Pr="00D44261">
        <w:rPr>
          <w:color w:val="000000" w:themeColor="text1"/>
          <w:u w:color="000000" w:themeColor="text1"/>
        </w:rPr>
        <w:noBreakHyphen/>
      </w:r>
      <w:r w:rsidRPr="00D44261">
        <w:rPr>
          <w:rFonts w:eastAsia="Calibri"/>
          <w:color w:val="000000"/>
          <w:u w:color="000000"/>
        </w:rPr>
        <w:t>4</w:t>
      </w:r>
      <w:r w:rsidRPr="00D44261">
        <w:rPr>
          <w:color w:val="000000" w:themeColor="text1"/>
          <w:u w:color="000000" w:themeColor="text1"/>
        </w:rPr>
        <w:noBreakHyphen/>
      </w:r>
      <w:r w:rsidRPr="00D44261">
        <w:rPr>
          <w:rFonts w:eastAsia="Calibri"/>
          <w:color w:val="000000"/>
          <w:u w:color="000000"/>
        </w:rPr>
        <w:t>1700.</w:t>
      </w:r>
      <w:r w:rsidRPr="00D44261">
        <w:rPr>
          <w:rFonts w:eastAsia="Calibri"/>
          <w:color w:val="000000"/>
          <w:u w:color="000000"/>
        </w:rPr>
        <w:tab/>
        <w:t>For purposes of this article:</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r>
      <w:r w:rsidRPr="00D44261">
        <w:rPr>
          <w:rFonts w:eastAsia="Calibri"/>
          <w:color w:val="000000"/>
          <w:u w:color="000000"/>
        </w:rPr>
        <w:tab/>
        <w:t>(1)</w:t>
      </w:r>
      <w:r w:rsidRPr="00D44261">
        <w:rPr>
          <w:rFonts w:eastAsia="Calibri"/>
          <w:color w:val="000000"/>
          <w:u w:color="000000"/>
        </w:rPr>
        <w:tab/>
      </w:r>
      <w:r w:rsidRPr="00D44261">
        <w:rPr>
          <w:color w:val="000000" w:themeColor="text1"/>
          <w:u w:color="000000" w:themeColor="text1"/>
        </w:rPr>
        <w:t>‘</w:t>
      </w:r>
      <w:r w:rsidRPr="00D44261">
        <w:rPr>
          <w:rFonts w:eastAsia="Calibri"/>
          <w:color w:val="000000"/>
          <w:u w:color="000000"/>
        </w:rPr>
        <w:t>Brewpub</w:t>
      </w:r>
      <w:r w:rsidRPr="00D44261">
        <w:rPr>
          <w:color w:val="000000" w:themeColor="text1"/>
          <w:u w:color="000000" w:themeColor="text1"/>
        </w:rPr>
        <w:t>’</w:t>
      </w:r>
      <w:r w:rsidRPr="00D44261">
        <w:rPr>
          <w:rFonts w:eastAsia="Calibri"/>
          <w:color w:val="000000"/>
          <w:u w:color="000000"/>
        </w:rPr>
        <w:t xml:space="preserve"> means a tavern, public house, restaurant, or hotel which produces on the permitted premises a maximum of </w:t>
      </w:r>
      <w:r w:rsidRPr="00D44261">
        <w:rPr>
          <w:rFonts w:eastAsia="Calibri"/>
          <w:strike/>
          <w:color w:val="000000"/>
          <w:u w:color="000000"/>
        </w:rPr>
        <w:t>two</w:t>
      </w:r>
      <w:r w:rsidRPr="00D44261">
        <w:rPr>
          <w:rFonts w:eastAsia="Calibri"/>
          <w:color w:val="000000"/>
          <w:u w:color="000000"/>
        </w:rPr>
        <w:t xml:space="preserve"> </w:t>
      </w:r>
      <w:r w:rsidRPr="00D44261">
        <w:rPr>
          <w:rFonts w:eastAsia="Calibri"/>
          <w:color w:val="000000"/>
          <w:u w:val="single" w:color="000000"/>
        </w:rPr>
        <w:t>five hundred</w:t>
      </w:r>
      <w:r w:rsidRPr="00D44261">
        <w:rPr>
          <w:rFonts w:eastAsia="Calibri"/>
          <w:color w:val="000000"/>
          <w:u w:color="000000"/>
        </w:rPr>
        <w:t xml:space="preserve"> thousand barrels a year of beer for sale </w:t>
      </w:r>
      <w:r w:rsidRPr="00D44261">
        <w:rPr>
          <w:rFonts w:eastAsia="Calibri"/>
          <w:color w:val="000000"/>
          <w:u w:val="single" w:color="000000"/>
        </w:rPr>
        <w:t>to consumers, wholesalers, or exporters</w:t>
      </w:r>
      <w:r w:rsidRPr="00D44261">
        <w:rPr>
          <w:rFonts w:eastAsia="Calibri"/>
          <w:color w:val="000000"/>
          <w:u w:color="000000"/>
        </w:rPr>
        <w:t xml:space="preserve"> on the </w:t>
      </w:r>
      <w:r w:rsidRPr="00D44261">
        <w:rPr>
          <w:rFonts w:eastAsia="Calibri"/>
          <w:color w:val="000000"/>
          <w:u w:val="single" w:color="000000"/>
        </w:rPr>
        <w:t>permitted</w:t>
      </w:r>
      <w:r w:rsidRPr="00D44261">
        <w:rPr>
          <w:rFonts w:eastAsia="Calibri"/>
          <w:color w:val="000000"/>
          <w:u w:color="000000"/>
        </w:rPr>
        <w:t xml:space="preserve"> premises.</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r>
      <w:r w:rsidRPr="00D44261">
        <w:rPr>
          <w:rFonts w:eastAsia="Calibri"/>
          <w:color w:val="000000"/>
          <w:u w:color="000000"/>
        </w:rPr>
        <w:tab/>
        <w:t>(2)</w:t>
      </w:r>
      <w:r w:rsidRPr="00D44261">
        <w:rPr>
          <w:rFonts w:eastAsia="Calibri"/>
          <w:color w:val="000000"/>
          <w:u w:color="000000"/>
        </w:rPr>
        <w:tab/>
      </w:r>
      <w:r w:rsidRPr="00D44261">
        <w:rPr>
          <w:color w:val="000000" w:themeColor="text1"/>
          <w:u w:color="000000" w:themeColor="text1"/>
        </w:rPr>
        <w:t>‘</w:t>
      </w:r>
      <w:r w:rsidRPr="00D44261">
        <w:rPr>
          <w:rFonts w:eastAsia="Calibri"/>
          <w:color w:val="000000"/>
          <w:u w:color="000000"/>
        </w:rPr>
        <w:t>Permitted premises</w:t>
      </w:r>
      <w:r w:rsidRPr="00D44261">
        <w:rPr>
          <w:color w:val="000000" w:themeColor="text1"/>
          <w:u w:color="000000" w:themeColor="text1"/>
        </w:rPr>
        <w:t>’</w:t>
      </w:r>
      <w:r w:rsidRPr="00D44261">
        <w:rPr>
          <w:rFonts w:eastAsia="Calibri"/>
          <w:color w:val="000000"/>
          <w:u w:color="000000"/>
        </w:rPr>
        <w:t xml:space="preserve"> means those areas normally used by the permittee or licensee to conduct his business and includes, but is not limited to, the selling areas, brewing areas, storage areas, food preparation areas, and parking areas.</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r>
      <w:r w:rsidRPr="00D44261">
        <w:rPr>
          <w:rFonts w:eastAsia="Calibri"/>
          <w:color w:val="000000"/>
          <w:u w:color="000000"/>
        </w:rPr>
        <w:tab/>
        <w:t>(3)</w:t>
      </w:r>
      <w:r w:rsidRPr="00D44261">
        <w:rPr>
          <w:rFonts w:eastAsia="Calibri"/>
          <w:color w:val="000000"/>
          <w:u w:color="000000"/>
        </w:rPr>
        <w:tab/>
      </w:r>
      <w:r w:rsidRPr="00D44261">
        <w:rPr>
          <w:color w:val="000000" w:themeColor="text1"/>
          <w:u w:color="000000" w:themeColor="text1"/>
        </w:rPr>
        <w:t>‘</w:t>
      </w:r>
      <w:r w:rsidRPr="00D44261">
        <w:rPr>
          <w:rFonts w:eastAsia="Calibri"/>
          <w:color w:val="000000"/>
          <w:u w:color="000000"/>
        </w:rPr>
        <w:t>Person</w:t>
      </w:r>
      <w:r w:rsidRPr="00D44261">
        <w:rPr>
          <w:color w:val="000000" w:themeColor="text1"/>
          <w:u w:color="000000" w:themeColor="text1"/>
        </w:rPr>
        <w:t>’</w:t>
      </w:r>
      <w:r w:rsidRPr="00D44261">
        <w:rPr>
          <w:rFonts w:eastAsia="Calibri"/>
          <w:color w:val="000000"/>
          <w:u w:color="000000"/>
        </w:rPr>
        <w:t xml:space="preserve"> means an individual, partnership, corporation, or other form of business organization.</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Pr="00D44261">
        <w:rPr>
          <w:color w:val="000000" w:themeColor="text1"/>
          <w:u w:color="000000" w:themeColor="text1"/>
        </w:rPr>
        <w:noBreakHyphen/>
      </w:r>
      <w:r w:rsidRPr="00D44261">
        <w:rPr>
          <w:rFonts w:eastAsia="Calibri"/>
          <w:color w:val="000000"/>
          <w:u w:color="000000"/>
        </w:rPr>
        <w:t>4</w:t>
      </w:r>
      <w:r w:rsidRPr="00D44261">
        <w:rPr>
          <w:color w:val="000000" w:themeColor="text1"/>
          <w:u w:color="000000" w:themeColor="text1"/>
        </w:rPr>
        <w:noBreakHyphen/>
      </w:r>
      <w:r w:rsidRPr="00D44261">
        <w:rPr>
          <w:rFonts w:eastAsia="Calibri"/>
          <w:color w:val="000000"/>
          <w:u w:color="000000"/>
        </w:rPr>
        <w:t>1710.</w:t>
      </w:r>
      <w:r w:rsidRPr="00D44261">
        <w:rPr>
          <w:rFonts w:eastAsia="Calibri"/>
          <w:color w:val="000000"/>
          <w:u w:color="000000"/>
        </w:rPr>
        <w:tab/>
        <w:t>The department may issue a brewpub permit to a person to operate a brewpub in this State subject to the requirements of this chapter and the payment of a biennial brewpub permit fee of two thousand dollars.</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Pr="00D44261">
        <w:rPr>
          <w:color w:val="000000" w:themeColor="text1"/>
          <w:u w:color="000000" w:themeColor="text1"/>
        </w:rPr>
        <w:noBreakHyphen/>
      </w:r>
      <w:r w:rsidRPr="00D44261">
        <w:rPr>
          <w:rFonts w:eastAsia="Calibri"/>
          <w:color w:val="000000"/>
          <w:u w:color="000000"/>
        </w:rPr>
        <w:t>4</w:t>
      </w:r>
      <w:r w:rsidRPr="00D44261">
        <w:rPr>
          <w:color w:val="000000" w:themeColor="text1"/>
          <w:u w:color="000000" w:themeColor="text1"/>
        </w:rPr>
        <w:noBreakHyphen/>
      </w:r>
      <w:r w:rsidRPr="00D44261">
        <w:rPr>
          <w:rFonts w:eastAsia="Calibri"/>
          <w:color w:val="000000"/>
          <w:u w:color="000000"/>
        </w:rPr>
        <w:t>1720.</w:t>
      </w:r>
      <w:r w:rsidRPr="00D44261">
        <w:rPr>
          <w:rFonts w:eastAsia="Calibri"/>
          <w:color w:val="000000"/>
          <w:u w:color="000000"/>
        </w:rPr>
        <w:tab/>
        <w:t>The brewpub permit provided for in this article is in lieu of a permit required for the manufacture of beer or sale of beer and wine including, but not limited to, a brewer</w:t>
      </w:r>
      <w:r w:rsidRPr="00D44261">
        <w:rPr>
          <w:color w:val="000000" w:themeColor="text1"/>
          <w:u w:color="000000" w:themeColor="text1"/>
        </w:rPr>
        <w:t>’</w:t>
      </w:r>
      <w:r w:rsidRPr="00D44261">
        <w:rPr>
          <w:rFonts w:eastAsia="Calibri"/>
          <w:color w:val="000000"/>
          <w:u w:color="000000"/>
        </w:rPr>
        <w:t>s and retailer</w:t>
      </w:r>
      <w:r w:rsidRPr="00D44261">
        <w:rPr>
          <w:color w:val="000000" w:themeColor="text1"/>
          <w:u w:color="000000" w:themeColor="text1"/>
        </w:rPr>
        <w:t>’</w:t>
      </w:r>
      <w:r w:rsidRPr="00D44261">
        <w:rPr>
          <w:rFonts w:eastAsia="Calibri"/>
          <w:color w:val="000000"/>
          <w:u w:color="000000"/>
        </w:rPr>
        <w:t>s permit.  The sale of alcoholic liquors for consumption on the premises by the drink requires an appropriate license which may be issued to the holder of a brewpub permit who meets all other qualifications for the license under this title.</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Pr="00D44261">
        <w:rPr>
          <w:color w:val="000000" w:themeColor="text1"/>
          <w:u w:color="000000" w:themeColor="text1"/>
        </w:rPr>
        <w:noBreakHyphen/>
      </w:r>
      <w:r w:rsidRPr="00D44261">
        <w:rPr>
          <w:rFonts w:eastAsia="Calibri"/>
          <w:color w:val="000000"/>
          <w:u w:color="000000"/>
        </w:rPr>
        <w:t>4</w:t>
      </w:r>
      <w:r w:rsidRPr="00D44261">
        <w:rPr>
          <w:color w:val="000000" w:themeColor="text1"/>
          <w:u w:color="000000" w:themeColor="text1"/>
        </w:rPr>
        <w:noBreakHyphen/>
      </w:r>
      <w:r w:rsidRPr="00D44261">
        <w:rPr>
          <w:rFonts w:eastAsia="Calibri"/>
          <w:color w:val="000000"/>
          <w:u w:color="000000"/>
        </w:rPr>
        <w:t>1730.</w:t>
      </w:r>
      <w:r w:rsidRPr="00D44261">
        <w:rPr>
          <w:rFonts w:eastAsia="Calibri"/>
          <w:color w:val="000000"/>
          <w:u w:color="000000"/>
        </w:rPr>
        <w:tab/>
        <w:t>Beer brewed on a permitted premises pursuant to this article must be taxed as provided in Section 12</w:t>
      </w:r>
      <w:r w:rsidRPr="00D44261">
        <w:rPr>
          <w:color w:val="000000" w:themeColor="text1"/>
          <w:u w:color="000000" w:themeColor="text1"/>
        </w:rPr>
        <w:noBreakHyphen/>
      </w:r>
      <w:r w:rsidRPr="00D44261">
        <w:rPr>
          <w:rFonts w:eastAsia="Calibri"/>
          <w:color w:val="000000"/>
          <w:u w:color="000000"/>
        </w:rPr>
        <w:t>21</w:t>
      </w:r>
      <w:r w:rsidRPr="00D44261">
        <w:rPr>
          <w:color w:val="000000" w:themeColor="text1"/>
          <w:u w:color="000000" w:themeColor="text1"/>
        </w:rPr>
        <w:noBreakHyphen/>
      </w:r>
      <w:r w:rsidRPr="00D44261">
        <w:rPr>
          <w:rFonts w:eastAsia="Calibri"/>
          <w:color w:val="000000"/>
          <w:u w:color="000000"/>
        </w:rPr>
        <w:t>1035. The permittee shall maintain adequate records as determined by the department to ensure the collection of this tax.</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Pr="00D44261">
        <w:rPr>
          <w:color w:val="000000" w:themeColor="text1"/>
          <w:u w:color="000000" w:themeColor="text1"/>
        </w:rPr>
        <w:noBreakHyphen/>
      </w:r>
      <w:r w:rsidRPr="00D44261">
        <w:rPr>
          <w:rFonts w:eastAsia="Calibri"/>
          <w:color w:val="000000"/>
          <w:u w:color="000000"/>
        </w:rPr>
        <w:t>4</w:t>
      </w:r>
      <w:r w:rsidRPr="00D44261">
        <w:rPr>
          <w:color w:val="000000" w:themeColor="text1"/>
          <w:u w:color="000000" w:themeColor="text1"/>
        </w:rPr>
        <w:noBreakHyphen/>
      </w:r>
      <w:r w:rsidRPr="00D44261">
        <w:rPr>
          <w:rFonts w:eastAsia="Calibri"/>
          <w:color w:val="000000"/>
          <w:u w:color="000000"/>
        </w:rPr>
        <w:t>1740.</w:t>
      </w:r>
      <w:r w:rsidRPr="00D44261">
        <w:rPr>
          <w:rFonts w:eastAsia="Calibri"/>
          <w:color w:val="000000"/>
          <w:u w:color="000000"/>
        </w:rPr>
        <w:tab/>
        <w:t>A brewpub permit authorizes the holder to:</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(1)</w:t>
      </w:r>
      <w:r>
        <w:rPr>
          <w:rFonts w:eastAsia="Calibri"/>
          <w:color w:val="000000"/>
          <w:u w:color="000000"/>
        </w:rPr>
        <w:tab/>
      </w:r>
      <w:r w:rsidRPr="00D44261">
        <w:rPr>
          <w:rFonts w:eastAsia="Calibri"/>
          <w:color w:val="000000"/>
          <w:u w:color="000000"/>
        </w:rPr>
        <w:t xml:space="preserve">produce on the permitted premises a maximum of </w:t>
      </w:r>
      <w:r w:rsidRPr="00D44261">
        <w:rPr>
          <w:rFonts w:eastAsia="Calibri"/>
          <w:strike/>
          <w:color w:val="000000"/>
          <w:u w:color="000000"/>
        </w:rPr>
        <w:t>two</w:t>
      </w:r>
      <w:r w:rsidRPr="00D44261">
        <w:rPr>
          <w:rFonts w:eastAsia="Calibri"/>
          <w:color w:val="000000"/>
          <w:u w:color="000000"/>
        </w:rPr>
        <w:t xml:space="preserve"> </w:t>
      </w:r>
      <w:r w:rsidRPr="00D44261">
        <w:rPr>
          <w:rFonts w:eastAsia="Calibri"/>
          <w:color w:val="000000"/>
          <w:u w:val="single" w:color="000000"/>
        </w:rPr>
        <w:t>five hundred</w:t>
      </w:r>
      <w:r w:rsidRPr="00D44261">
        <w:rPr>
          <w:rFonts w:eastAsia="Calibri"/>
          <w:color w:val="000000"/>
          <w:u w:color="000000"/>
        </w:rPr>
        <w:t xml:space="preserve"> thousand barrels </w:t>
      </w:r>
      <w:r w:rsidRPr="00D44261">
        <w:rPr>
          <w:rFonts w:eastAsia="Calibri"/>
          <w:color w:val="000000"/>
          <w:u w:val="single" w:color="000000"/>
        </w:rPr>
        <w:t>of beer</w:t>
      </w:r>
      <w:r w:rsidRPr="00D44261">
        <w:rPr>
          <w:rFonts w:eastAsia="Calibri"/>
          <w:color w:val="000000"/>
          <w:u w:color="000000"/>
        </w:rPr>
        <w:t xml:space="preserve"> a year </w:t>
      </w:r>
      <w:r w:rsidRPr="00D44261">
        <w:rPr>
          <w:rFonts w:eastAsia="Calibri"/>
          <w:strike/>
          <w:color w:val="000000"/>
          <w:u w:color="000000"/>
        </w:rPr>
        <w:t>of beer</w:t>
      </w:r>
      <w:r w:rsidRPr="00D44261">
        <w:rPr>
          <w:rFonts w:eastAsia="Calibri"/>
          <w:color w:val="000000"/>
          <w:u w:color="000000"/>
        </w:rPr>
        <w:t xml:space="preserve"> for sale:</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(a)</w:t>
      </w:r>
      <w:r>
        <w:rPr>
          <w:rFonts w:eastAsia="Calibri"/>
          <w:color w:val="000000"/>
          <w:u w:color="000000"/>
        </w:rPr>
        <w:tab/>
      </w:r>
      <w:r w:rsidRPr="00D44261">
        <w:rPr>
          <w:rFonts w:eastAsia="Calibri"/>
          <w:color w:val="000000"/>
          <w:u w:color="000000"/>
        </w:rPr>
        <w:t xml:space="preserve">on draft for consumption on the </w:t>
      </w:r>
      <w:r w:rsidRPr="00D44261">
        <w:rPr>
          <w:rFonts w:eastAsia="Calibri"/>
          <w:color w:val="000000"/>
          <w:u w:val="single" w:color="000000"/>
        </w:rPr>
        <w:t>permitted</w:t>
      </w:r>
      <w:r w:rsidRPr="00D44261">
        <w:rPr>
          <w:rFonts w:eastAsia="Calibri"/>
          <w:color w:val="000000"/>
          <w:u w:color="000000"/>
        </w:rPr>
        <w:t xml:space="preserve"> premises;</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(b)</w:t>
      </w:r>
      <w:r>
        <w:rPr>
          <w:rFonts w:eastAsia="Calibri"/>
          <w:color w:val="000000"/>
          <w:u w:color="000000"/>
        </w:rPr>
        <w:tab/>
      </w:r>
      <w:r w:rsidRPr="00D44261">
        <w:rPr>
          <w:rFonts w:eastAsia="Calibri"/>
          <w:color w:val="000000"/>
          <w:u w:color="000000"/>
        </w:rPr>
        <w:t xml:space="preserve">in a sanitary container </w:t>
      </w:r>
      <w:r w:rsidRPr="00D44261">
        <w:rPr>
          <w:rFonts w:eastAsia="Calibri"/>
          <w:strike/>
          <w:color w:val="000000"/>
          <w:u w:color="000000"/>
        </w:rPr>
        <w:t>brought to the premises by the purchaser and</w:t>
      </w:r>
      <w:r w:rsidRPr="00D44261">
        <w:rPr>
          <w:rFonts w:eastAsia="Calibri"/>
          <w:color w:val="000000"/>
          <w:u w:color="000000"/>
        </w:rPr>
        <w:t xml:space="preserve"> filled at the tap by the permittee at the time of sale;  </w:t>
      </w:r>
      <w:r w:rsidRPr="00D44261">
        <w:rPr>
          <w:rFonts w:eastAsia="Calibri"/>
          <w:strike/>
          <w:color w:val="000000"/>
          <w:u w:color="000000"/>
        </w:rPr>
        <w:t>and</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u w:color="000000"/>
        </w:rPr>
        <w:tab/>
      </w:r>
      <w:r>
        <w:rPr>
          <w:rFonts w:eastAsia="Calibri"/>
          <w:color w:val="000000"/>
          <w:u w:color="000000"/>
        </w:rPr>
        <w:tab/>
        <w:t>(c)</w:t>
      </w:r>
      <w:r>
        <w:rPr>
          <w:rFonts w:eastAsia="Calibri"/>
          <w:color w:val="000000"/>
          <w:u w:color="000000"/>
        </w:rPr>
        <w:tab/>
      </w:r>
      <w:r w:rsidRPr="00D44261">
        <w:rPr>
          <w:rFonts w:eastAsia="Calibri"/>
          <w:color w:val="000000"/>
          <w:u w:color="000000"/>
        </w:rPr>
        <w:t xml:space="preserve">in bottles </w:t>
      </w:r>
      <w:r w:rsidRPr="00D44261">
        <w:rPr>
          <w:rFonts w:eastAsia="Calibri"/>
          <w:color w:val="000000"/>
          <w:u w:val="single" w:color="000000"/>
        </w:rPr>
        <w:t>and cans</w:t>
      </w:r>
      <w:r w:rsidRPr="00D44261">
        <w:rPr>
          <w:rFonts w:eastAsia="Calibri"/>
          <w:color w:val="000000"/>
          <w:u w:color="000000"/>
        </w:rPr>
        <w:t xml:space="preserve"> for consumption by the purchaser off the premises; </w:t>
      </w:r>
      <w:r w:rsidRPr="00D44261">
        <w:rPr>
          <w:rFonts w:eastAsia="Calibri"/>
          <w:color w:val="000000"/>
          <w:u w:val="single" w:color="000000"/>
        </w:rPr>
        <w:t>and</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D44261">
        <w:rPr>
          <w:rFonts w:eastAsia="Calibri"/>
          <w:color w:val="000000"/>
          <w:u w:color="000000"/>
        </w:rPr>
        <w:tab/>
      </w:r>
      <w:r w:rsidRPr="00D44261">
        <w:rPr>
          <w:rFonts w:eastAsia="Calibri"/>
          <w:color w:val="000000"/>
          <w:u w:color="000000"/>
        </w:rPr>
        <w:tab/>
      </w:r>
      <w:r w:rsidRPr="00D44261">
        <w:rPr>
          <w:rFonts w:eastAsia="Calibri"/>
          <w:color w:val="000000"/>
          <w:u w:val="single" w:color="000000"/>
        </w:rPr>
        <w:t>(d)</w:t>
      </w:r>
      <w:r w:rsidRPr="00D44261">
        <w:rPr>
          <w:rFonts w:eastAsia="Calibri"/>
          <w:color w:val="000000"/>
          <w:u w:color="000000"/>
        </w:rPr>
        <w:tab/>
      </w:r>
      <w:r w:rsidRPr="00D44261">
        <w:rPr>
          <w:rFonts w:eastAsia="Calibri"/>
          <w:color w:val="000000"/>
          <w:u w:val="single" w:color="000000"/>
        </w:rPr>
        <w:t>in kegs, bottles, and cans to a wholesaler;</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(2)</w:t>
      </w:r>
      <w:r>
        <w:rPr>
          <w:rFonts w:eastAsia="Calibri"/>
          <w:color w:val="000000"/>
          <w:u w:color="000000"/>
        </w:rPr>
        <w:tab/>
      </w:r>
      <w:r w:rsidRPr="00D44261">
        <w:rPr>
          <w:rFonts w:eastAsia="Calibri"/>
          <w:color w:val="000000"/>
          <w:u w:color="000000"/>
        </w:rPr>
        <w:t xml:space="preserve">sell the beer of a producer </w:t>
      </w:r>
      <w:r w:rsidRPr="00D44261">
        <w:rPr>
          <w:rFonts w:eastAsia="Calibri"/>
          <w:strike/>
          <w:color w:val="000000"/>
          <w:u w:color="000000"/>
        </w:rPr>
        <w:t>which</w:t>
      </w:r>
      <w:r w:rsidRPr="00D44261">
        <w:rPr>
          <w:rFonts w:eastAsia="Calibri"/>
          <w:color w:val="000000"/>
          <w:u w:color="000000"/>
        </w:rPr>
        <w:t xml:space="preserve"> </w:t>
      </w:r>
      <w:r w:rsidRPr="00D44261">
        <w:rPr>
          <w:rFonts w:eastAsia="Calibri"/>
          <w:color w:val="000000"/>
          <w:u w:val="single" w:color="000000"/>
        </w:rPr>
        <w:t>that</w:t>
      </w:r>
      <w:r w:rsidRPr="00D44261">
        <w:rPr>
          <w:rFonts w:eastAsia="Calibri"/>
          <w:color w:val="000000"/>
          <w:u w:color="000000"/>
        </w:rPr>
        <w:t xml:space="preserve"> has been purchased from a wholesaler through the normal three</w:t>
      </w:r>
      <w:r w:rsidRPr="00D44261">
        <w:rPr>
          <w:color w:val="000000" w:themeColor="text1"/>
          <w:u w:color="000000" w:themeColor="text1"/>
        </w:rPr>
        <w:noBreakHyphen/>
      </w:r>
      <w:r w:rsidRPr="00D44261">
        <w:rPr>
          <w:rFonts w:eastAsia="Calibri"/>
          <w:color w:val="000000"/>
          <w:u w:color="000000"/>
        </w:rPr>
        <w:t>tier distribution chain set forth in Section 61</w:t>
      </w:r>
      <w:r w:rsidRPr="00D44261">
        <w:rPr>
          <w:color w:val="000000" w:themeColor="text1"/>
          <w:u w:color="000000" w:themeColor="text1"/>
        </w:rPr>
        <w:noBreakHyphen/>
      </w:r>
      <w:r w:rsidRPr="00D44261">
        <w:rPr>
          <w:rFonts w:eastAsia="Calibri"/>
          <w:color w:val="000000"/>
          <w:u w:color="000000"/>
        </w:rPr>
        <w:t>4</w:t>
      </w:r>
      <w:r w:rsidRPr="00D44261">
        <w:rPr>
          <w:color w:val="000000" w:themeColor="text1"/>
          <w:u w:color="000000" w:themeColor="text1"/>
        </w:rPr>
        <w:noBreakHyphen/>
      </w:r>
      <w:r w:rsidRPr="00D44261">
        <w:rPr>
          <w:rFonts w:eastAsia="Calibri"/>
          <w:color w:val="000000"/>
          <w:u w:color="000000"/>
        </w:rPr>
        <w:t>940;</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(3)</w:t>
      </w:r>
      <w:r>
        <w:rPr>
          <w:rFonts w:eastAsia="Calibri"/>
          <w:color w:val="000000"/>
          <w:u w:color="000000"/>
        </w:rPr>
        <w:tab/>
      </w:r>
      <w:r w:rsidRPr="00D44261">
        <w:rPr>
          <w:rFonts w:eastAsia="Calibri"/>
          <w:color w:val="000000"/>
          <w:u w:color="000000"/>
        </w:rPr>
        <w:t>serve food or otherwise be qualified as a public eating establishment.  This provision may not be construed to exempt a permittee or licensee from the requirement that food must be served in order for a license for the consumption of alcoholic liquors on the premises to be issued</w:t>
      </w:r>
      <w:r w:rsidRPr="00D44261">
        <w:rPr>
          <w:rFonts w:eastAsia="Calibri"/>
          <w:color w:val="000000"/>
          <w:u w:val="single" w:color="000000"/>
        </w:rPr>
        <w:t>; and</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r>
      <w:r w:rsidRPr="00D44261">
        <w:rPr>
          <w:rFonts w:eastAsia="Calibri"/>
          <w:color w:val="000000"/>
          <w:u w:val="single" w:color="000000"/>
        </w:rPr>
        <w:t>(4)</w:t>
      </w:r>
      <w:r w:rsidRPr="00D44261">
        <w:rPr>
          <w:rFonts w:eastAsia="Calibri"/>
          <w:color w:val="000000"/>
          <w:u w:color="000000"/>
        </w:rPr>
        <w:tab/>
      </w:r>
      <w:r w:rsidRPr="00D44261">
        <w:rPr>
          <w:rFonts w:eastAsia="Calibri"/>
          <w:color w:val="000000"/>
          <w:u w:val="single" w:color="000000"/>
        </w:rPr>
        <w:t>sell beer produced on the permitted premises to wholesalers licensed under Chapter 4, Title 61; however, beer produced on the permitted premises shall be sold to exporters and nonresident wholesalers only when the purc</w:t>
      </w:r>
      <w:r w:rsidR="00556C65">
        <w:rPr>
          <w:rFonts w:eastAsia="Calibri"/>
          <w:color w:val="000000"/>
          <w:u w:val="single" w:color="000000"/>
        </w:rPr>
        <w:t>hase is not for resale in this S</w:t>
      </w:r>
      <w:r w:rsidRPr="00D44261">
        <w:rPr>
          <w:rFonts w:eastAsia="Calibri"/>
          <w:color w:val="000000"/>
          <w:u w:val="single" w:color="000000"/>
        </w:rPr>
        <w:t>tate</w:t>
      </w:r>
      <w:r w:rsidRPr="00D44261">
        <w:rPr>
          <w:rFonts w:eastAsia="Calibri"/>
          <w:color w:val="000000"/>
          <w:u w:color="000000"/>
        </w:rPr>
        <w:t>.</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Pr="00D44261">
        <w:rPr>
          <w:color w:val="000000" w:themeColor="text1"/>
          <w:u w:color="000000" w:themeColor="text1"/>
        </w:rPr>
        <w:noBreakHyphen/>
      </w:r>
      <w:r w:rsidRPr="00D44261">
        <w:rPr>
          <w:rFonts w:eastAsia="Calibri"/>
          <w:color w:val="000000"/>
          <w:u w:color="000000"/>
        </w:rPr>
        <w:t>4</w:t>
      </w:r>
      <w:r w:rsidRPr="00D44261">
        <w:rPr>
          <w:color w:val="000000" w:themeColor="text1"/>
          <w:u w:color="000000" w:themeColor="text1"/>
        </w:rPr>
        <w:noBreakHyphen/>
      </w:r>
      <w:r w:rsidRPr="00D44261">
        <w:rPr>
          <w:rFonts w:eastAsia="Calibri"/>
          <w:color w:val="000000"/>
          <w:u w:color="000000"/>
        </w:rPr>
        <w:t>1750.</w:t>
      </w:r>
      <w:r w:rsidRPr="00D44261">
        <w:rPr>
          <w:rFonts w:eastAsia="Calibri"/>
          <w:color w:val="000000"/>
          <w:u w:color="000000"/>
        </w:rPr>
        <w:tab/>
        <w:t xml:space="preserve">No person holding a brewpub permit </w:t>
      </w:r>
      <w:r w:rsidRPr="00D44261">
        <w:rPr>
          <w:rFonts w:eastAsia="Calibri"/>
          <w:strike/>
          <w:color w:val="000000"/>
          <w:u w:color="000000"/>
        </w:rPr>
        <w:t>may</w:t>
      </w:r>
      <w:r w:rsidRPr="00D44261">
        <w:rPr>
          <w:rFonts w:eastAsia="Calibri"/>
          <w:color w:val="000000"/>
          <w:u w:color="000000"/>
        </w:rPr>
        <w:t xml:space="preserve">  </w:t>
      </w:r>
      <w:r w:rsidRPr="00D44261">
        <w:rPr>
          <w:rFonts w:eastAsia="Calibri"/>
          <w:color w:val="000000"/>
          <w:u w:val="single" w:color="000000"/>
        </w:rPr>
        <w:t>shall</w:t>
      </w:r>
      <w:r w:rsidRPr="00D44261">
        <w:rPr>
          <w:rFonts w:eastAsia="Calibri"/>
          <w:color w:val="000000"/>
          <w:u w:color="000000"/>
        </w:rPr>
        <w:t xml:space="preserve"> sell beer, ale, porter, or other similar malt or fermented beverages on draft, on tap, from kegs, or from other containers unless approved by the rules and regulations of the Department of Health and Environmental Control governing eating and drinking establishments and other retail food establishments</w:t>
      </w:r>
      <w:r w:rsidRPr="00D44261">
        <w:rPr>
          <w:rFonts w:eastAsia="Calibri"/>
          <w:color w:val="000000"/>
          <w:u w:val="single" w:color="000000"/>
        </w:rPr>
        <w:t>, if the brewpub permittee is subject to those rules and regulations</w:t>
      </w:r>
      <w:r w:rsidRPr="00D44261">
        <w:rPr>
          <w:rFonts w:eastAsia="Calibri"/>
          <w:color w:val="000000"/>
          <w:u w:color="000000"/>
        </w:rPr>
        <w:t>.</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Pr="00D44261">
        <w:rPr>
          <w:color w:val="000000" w:themeColor="text1"/>
          <w:u w:color="000000" w:themeColor="text1"/>
        </w:rPr>
        <w:noBreakHyphen/>
      </w:r>
      <w:r w:rsidRPr="00D44261">
        <w:rPr>
          <w:rFonts w:eastAsia="Calibri"/>
          <w:color w:val="000000"/>
          <w:u w:color="000000"/>
        </w:rPr>
        <w:t>4</w:t>
      </w:r>
      <w:r w:rsidRPr="00D44261">
        <w:rPr>
          <w:color w:val="000000" w:themeColor="text1"/>
          <w:u w:color="000000" w:themeColor="text1"/>
        </w:rPr>
        <w:noBreakHyphen/>
      </w:r>
      <w:r w:rsidRPr="00D44261">
        <w:rPr>
          <w:rFonts w:eastAsia="Calibri"/>
          <w:color w:val="000000"/>
          <w:u w:color="000000"/>
        </w:rPr>
        <w:t>1760.</w:t>
      </w:r>
      <w:r w:rsidRPr="00D44261">
        <w:rPr>
          <w:rFonts w:eastAsia="Calibri"/>
          <w:color w:val="000000"/>
          <w:u w:color="000000"/>
        </w:rPr>
        <w:tab/>
      </w:r>
      <w:r w:rsidRPr="00D44261">
        <w:rPr>
          <w:rFonts w:eastAsia="Calibri"/>
          <w:strike/>
          <w:color w:val="000000"/>
          <w:u w:color="000000"/>
        </w:rPr>
        <w:t>No brewpub permittee may sell or ship the beer produced on the permitted premises for sale in another location.</w:t>
      </w:r>
      <w:r w:rsidRPr="00D44261">
        <w:rPr>
          <w:rFonts w:eastAsia="Calibri"/>
          <w:color w:val="000000"/>
          <w:u w:color="000000"/>
        </w:rPr>
        <w:t xml:space="preserve"> </w:t>
      </w:r>
      <w:r w:rsidRPr="00D44261">
        <w:rPr>
          <w:rFonts w:eastAsia="Calibri"/>
          <w:color w:val="000000"/>
          <w:u w:val="single" w:color="000000"/>
        </w:rPr>
        <w:t>Reserved.</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44261">
        <w:rPr>
          <w:rFonts w:eastAsia="Calibri"/>
          <w:color w:val="000000"/>
          <w:u w:color="000000"/>
        </w:rPr>
        <w:tab/>
        <w:t>Section</w:t>
      </w:r>
      <w:r w:rsidRPr="00D44261">
        <w:rPr>
          <w:rFonts w:eastAsia="Calibri"/>
          <w:color w:val="000000"/>
          <w:u w:color="000000"/>
        </w:rPr>
        <w:tab/>
        <w:t>61</w:t>
      </w:r>
      <w:r w:rsidRPr="00D44261">
        <w:rPr>
          <w:color w:val="000000" w:themeColor="text1"/>
          <w:u w:color="000000" w:themeColor="text1"/>
        </w:rPr>
        <w:noBreakHyphen/>
      </w:r>
      <w:r w:rsidRPr="00D44261">
        <w:rPr>
          <w:rFonts w:eastAsia="Calibri"/>
          <w:color w:val="000000"/>
          <w:u w:color="000000"/>
        </w:rPr>
        <w:t>4</w:t>
      </w:r>
      <w:r w:rsidRPr="00D44261">
        <w:rPr>
          <w:color w:val="000000" w:themeColor="text1"/>
          <w:u w:color="000000" w:themeColor="text1"/>
        </w:rPr>
        <w:noBreakHyphen/>
      </w:r>
      <w:r w:rsidRPr="00D44261">
        <w:rPr>
          <w:rFonts w:eastAsia="Calibri"/>
          <w:color w:val="000000"/>
          <w:u w:color="000000"/>
        </w:rPr>
        <w:t>1770.</w:t>
      </w:r>
      <w:r w:rsidRPr="00D44261">
        <w:rPr>
          <w:rFonts w:eastAsia="Calibri"/>
          <w:color w:val="000000"/>
          <w:u w:color="000000"/>
        </w:rPr>
        <w:tab/>
        <w:t>The department may suspend or revoke the permit or license of a person who violates the provisions of this article.</w:t>
      </w:r>
      <w:r w:rsidRPr="00D44261">
        <w:rPr>
          <w:color w:val="000000" w:themeColor="text1"/>
          <w:u w:color="000000" w:themeColor="text1"/>
        </w:rPr>
        <w:t>”</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Calibri"/>
          <w:color w:val="000000"/>
          <w:u w:color="000000"/>
        </w:rPr>
        <w:t>SECTION</w:t>
      </w:r>
      <w:r>
        <w:rPr>
          <w:rFonts w:eastAsia="Calibri"/>
          <w:color w:val="000000"/>
          <w:u w:color="000000"/>
        </w:rPr>
        <w:tab/>
      </w:r>
      <w:r w:rsidRPr="00D44261">
        <w:rPr>
          <w:rFonts w:eastAsia="Calibri"/>
          <w:color w:val="000000"/>
          <w:u w:color="000000"/>
        </w:rPr>
        <w:t>3.</w:t>
      </w:r>
      <w:r>
        <w:rPr>
          <w:rFonts w:eastAsia="Calibri"/>
          <w:color w:val="000000"/>
          <w:u w:color="000000"/>
        </w:rPr>
        <w:tab/>
      </w:r>
      <w:r w:rsidRPr="00D44261">
        <w:rPr>
          <w:rFonts w:eastAsia="Calibri"/>
          <w:color w:val="000000"/>
          <w:u w:color="000000"/>
        </w:rPr>
        <w:t>This act takes effect upon approval by the Governor.</w:t>
      </w:r>
    </w:p>
    <w:p w:rsidR="000333D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333D5" w:rsidRDefault="000333D5" w:rsidP="00CF5EDF">
      <w:pPr>
        <w:suppressAutoHyphens/>
        <w:jc w:val="both"/>
        <w:rPr>
          <w:rFonts w:eastAsia="Times New Roman"/>
        </w:rPr>
      </w:pPr>
    </w:p>
    <w:sectPr w:rsidR="000333D5" w:rsidSect="00CF5E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501" w:rsidRDefault="00064501" w:rsidP="00522CE0">
      <w:r>
        <w:separator/>
      </w:r>
    </w:p>
  </w:endnote>
  <w:endnote w:type="continuationSeparator" w:id="0">
    <w:p w:rsidR="00064501" w:rsidRDefault="000645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9BDF57-9CA5-4FCA-9C00-FDA2A1BFBA53}"/>
    <w:embedBold r:id="rId2" w:fontKey="{252DC353-7AFA-4063-935B-C906826C066C}"/>
  </w:font>
  <w:font w:name="Calibri">
    <w:panose1 w:val="020F0502020204030204"/>
    <w:charset w:val="00"/>
    <w:family w:val="swiss"/>
    <w:pitch w:val="variable"/>
    <w:sig w:usb0="E10002FF" w:usb1="4000ACFF" w:usb2="00000009" w:usb3="00000000" w:csb0="0000019F" w:csb1="00000000"/>
    <w:embedRegular r:id="rId3" w:fontKey="{557BAF47-BDC9-49FD-AA4B-6AB2D3DA53CF}"/>
    <w:embedBold r:id="rId4" w:fontKey="{3090C28B-E79D-4D6D-812E-5C7C2456220C}"/>
  </w:font>
  <w:font w:name="Cambria">
    <w:panose1 w:val="02040503050406030204"/>
    <w:charset w:val="00"/>
    <w:family w:val="roman"/>
    <w:pitch w:val="variable"/>
    <w:sig w:usb0="E00002FF" w:usb1="400004FF" w:usb2="00000000" w:usb3="00000000" w:csb0="0000019F" w:csb1="00000000"/>
    <w:embedRegular r:id="rId5" w:fontKey="{B66F6991-1709-4DBB-A336-9B16DCE524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EDF" w:rsidRPr="000333D5" w:rsidRDefault="00CF5EDF" w:rsidP="000333D5">
    <w:pPr>
      <w:pStyle w:val="Footer"/>
      <w:tabs>
        <w:tab w:val="clear" w:pos="4680"/>
        <w:tab w:val="clear" w:pos="9360"/>
        <w:tab w:val="center" w:pos="2995"/>
      </w:tabs>
      <w:spacing w:before="120"/>
    </w:pPr>
    <w:r>
      <w:t>[1230]</w:t>
    </w:r>
    <w:r>
      <w:tab/>
    </w:r>
    <w:r w:rsidR="00223B54">
      <w:fldChar w:fldCharType="begin"/>
    </w:r>
    <w:r w:rsidR="00223B54">
      <w:instrText xml:space="preserve"> PAGE  \* MERGEFORMAT </w:instrText>
    </w:r>
    <w:r w:rsidR="00223B54">
      <w:fldChar w:fldCharType="separate"/>
    </w:r>
    <w:r w:rsidR="00B632BD">
      <w:rPr>
        <w:noProof/>
      </w:rPr>
      <w:t>1</w:t>
    </w:r>
    <w:r w:rsidR="00223B5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501" w:rsidRDefault="00064501" w:rsidP="00522CE0">
      <w:r>
        <w:separator/>
      </w:r>
    </w:p>
  </w:footnote>
  <w:footnote w:type="continuationSeparator" w:id="0">
    <w:p w:rsidR="00064501" w:rsidRDefault="000645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2577"/>
  </w:hdrShapeDefaults>
  <w:footnotePr>
    <w:footnote w:id="-1"/>
    <w:footnote w:id="0"/>
  </w:footnotePr>
  <w:endnotePr>
    <w:endnote w:id="-1"/>
    <w:endnote w:id="0"/>
  </w:endnotePr>
  <w:compat>
    <w:compatSetting w:name="compatibilityMode" w:uri="http://schemas.microsoft.com/office/word" w:val="12"/>
  </w:compat>
  <w:docVars>
    <w:docVar w:name="clipname" w:val="JUD0109.KW"/>
    <w:docVar w:name="CoverAttorneyInitials" w:val="KW"/>
    <w:docVar w:name="CoverAttorneyLastName" w:val="Wells"/>
    <w:docVar w:name="CoverBillType" w:val="b"/>
    <w:docVar w:name="DraftFileName" w:val="JUD0109.KW.DOCX"/>
    <w:docVar w:name="DraftStenoName" w:val="Craft"/>
    <w:docVar w:name="dvBillNumber" w:val="1230"/>
    <w:docVar w:name="dvBillNumberPrefix" w:val="S. "/>
    <w:docVar w:name="dvOriginalBody" w:val="Senate"/>
    <w:docVar w:name="fulldraftpath" w:val="L:\S-JUD\BILLS\Bennett\JUD0109.KW.DOCX"/>
    <w:docVar w:name="NameofBody" w:val="S"/>
    <w:docVar w:name="SenatorFolderName" w:val="Bennett"/>
    <w:docVar w:name="VGROUP2" w:val="S-JUD"/>
  </w:docVars>
  <w:rsids>
    <w:rsidRoot w:val="001101B6"/>
    <w:rsid w:val="000141EB"/>
    <w:rsid w:val="000265EF"/>
    <w:rsid w:val="000333D5"/>
    <w:rsid w:val="00042AC1"/>
    <w:rsid w:val="00046516"/>
    <w:rsid w:val="00064501"/>
    <w:rsid w:val="00067F36"/>
    <w:rsid w:val="00076F12"/>
    <w:rsid w:val="00077C8D"/>
    <w:rsid w:val="000A4D08"/>
    <w:rsid w:val="000A6988"/>
    <w:rsid w:val="000B0720"/>
    <w:rsid w:val="000B5EAF"/>
    <w:rsid w:val="000E473B"/>
    <w:rsid w:val="000F002B"/>
    <w:rsid w:val="00107C3D"/>
    <w:rsid w:val="001101B6"/>
    <w:rsid w:val="00126995"/>
    <w:rsid w:val="0016543B"/>
    <w:rsid w:val="00170561"/>
    <w:rsid w:val="00186AC9"/>
    <w:rsid w:val="00190F47"/>
    <w:rsid w:val="00197DF1"/>
    <w:rsid w:val="001A5FB8"/>
    <w:rsid w:val="001B3DD9"/>
    <w:rsid w:val="001C23C9"/>
    <w:rsid w:val="001D3BAC"/>
    <w:rsid w:val="00206D3D"/>
    <w:rsid w:val="00221A5C"/>
    <w:rsid w:val="00223B54"/>
    <w:rsid w:val="0024519E"/>
    <w:rsid w:val="00245C4E"/>
    <w:rsid w:val="002C5896"/>
    <w:rsid w:val="002D3BB9"/>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96A85"/>
    <w:rsid w:val="004A05F7"/>
    <w:rsid w:val="004A592F"/>
    <w:rsid w:val="004B6A22"/>
    <w:rsid w:val="004C2918"/>
    <w:rsid w:val="004D168C"/>
    <w:rsid w:val="004D6923"/>
    <w:rsid w:val="004D7F37"/>
    <w:rsid w:val="0051584C"/>
    <w:rsid w:val="00520D79"/>
    <w:rsid w:val="00522CE0"/>
    <w:rsid w:val="00525DCD"/>
    <w:rsid w:val="00541FF6"/>
    <w:rsid w:val="00556C65"/>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906FD"/>
    <w:rsid w:val="007A4390"/>
    <w:rsid w:val="007C65B0"/>
    <w:rsid w:val="007E3B8F"/>
    <w:rsid w:val="007E5CB7"/>
    <w:rsid w:val="00814EED"/>
    <w:rsid w:val="00821A4C"/>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B70D6"/>
    <w:rsid w:val="009C118A"/>
    <w:rsid w:val="009F376E"/>
    <w:rsid w:val="00A02011"/>
    <w:rsid w:val="00A35165"/>
    <w:rsid w:val="00A4011E"/>
    <w:rsid w:val="00A41565"/>
    <w:rsid w:val="00A86015"/>
    <w:rsid w:val="00AE59C8"/>
    <w:rsid w:val="00AE60C2"/>
    <w:rsid w:val="00B030B6"/>
    <w:rsid w:val="00B10098"/>
    <w:rsid w:val="00B10E10"/>
    <w:rsid w:val="00B35389"/>
    <w:rsid w:val="00B43327"/>
    <w:rsid w:val="00B450FF"/>
    <w:rsid w:val="00B47304"/>
    <w:rsid w:val="00B54AA7"/>
    <w:rsid w:val="00B632BD"/>
    <w:rsid w:val="00B66C95"/>
    <w:rsid w:val="00B67A46"/>
    <w:rsid w:val="00B945C5"/>
    <w:rsid w:val="00B97343"/>
    <w:rsid w:val="00BA20EA"/>
    <w:rsid w:val="00BC0A56"/>
    <w:rsid w:val="00C23348"/>
    <w:rsid w:val="00C6454A"/>
    <w:rsid w:val="00C74052"/>
    <w:rsid w:val="00C91462"/>
    <w:rsid w:val="00CB187A"/>
    <w:rsid w:val="00CD7C71"/>
    <w:rsid w:val="00CF5EDF"/>
    <w:rsid w:val="00D1088B"/>
    <w:rsid w:val="00D156D2"/>
    <w:rsid w:val="00D77EC0"/>
    <w:rsid w:val="00D86943"/>
    <w:rsid w:val="00D97025"/>
    <w:rsid w:val="00DA47B9"/>
    <w:rsid w:val="00E52348"/>
    <w:rsid w:val="00E677A1"/>
    <w:rsid w:val="00E91E2F"/>
    <w:rsid w:val="00EA3546"/>
    <w:rsid w:val="00EB1AAC"/>
    <w:rsid w:val="00EB47AE"/>
    <w:rsid w:val="00EC34E1"/>
    <w:rsid w:val="00ED0AE1"/>
    <w:rsid w:val="00EF4109"/>
    <w:rsid w:val="00F0234A"/>
    <w:rsid w:val="00F52959"/>
    <w:rsid w:val="00F532D4"/>
    <w:rsid w:val="00F55884"/>
    <w:rsid w:val="00FB5399"/>
    <w:rsid w:val="00FC0450"/>
    <w:rsid w:val="00FC0D36"/>
    <w:rsid w:val="00FC536C"/>
    <w:rsid w:val="00FE35C5"/>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2577"/>
    <o:shapelayout v:ext="edit">
      <o:idmap v:ext="edit" data="1"/>
    </o:shapelayout>
  </w:shapeDefaults>
  <w:doNotEmbedSmartTags/>
  <w:decimalSymbol w:val="."/>
  <w:listSeparator w:val=","/>
  <w15:docId w15:val="{44897C9A-AF5C-46F0-B02C-34D144E9B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CF5E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230_20140416.docx" TargetMode="External"/><Relationship Id="rId3" Type="http://schemas.openxmlformats.org/officeDocument/2006/relationships/webSettings" Target="webSettings.xml"/><Relationship Id="rId7" Type="http://schemas.openxmlformats.org/officeDocument/2006/relationships/hyperlink" Target="file:///H:\SJ%20Archive\2014\04-16-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4-16-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1005</Words>
  <Characters>5733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1230: Alcoholic beverages - South Carolina Legislature Online</dc:title>
  <dc:subject/>
  <dc:creator>SusanCraft</dc:creator>
  <cp:keywords/>
  <dc:description/>
  <cp:lastModifiedBy>N Cumfer</cp:lastModifiedBy>
  <cp:revision>10</cp:revision>
  <dcterms:created xsi:type="dcterms:W3CDTF">2014-04-16T18:41:00Z</dcterms:created>
  <dcterms:modified xsi:type="dcterms:W3CDTF">2014-12-04T22:02:00Z</dcterms:modified>
</cp:coreProperties>
</file>