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32A" w:rsidRDefault="006D132A" w:rsidP="006D132A">
      <w:pPr>
        <w:widowControl w:val="0"/>
        <w:jc w:val="center"/>
      </w:pPr>
      <w:r w:rsidRPr="006D132A">
        <w:rPr>
          <w:b/>
        </w:rPr>
        <w:t>South Carolina General Assembly</w:t>
      </w:r>
    </w:p>
    <w:p w:rsidR="006D132A" w:rsidRDefault="006D132A" w:rsidP="006D132A">
      <w:pPr>
        <w:widowControl w:val="0"/>
        <w:jc w:val="center"/>
      </w:pPr>
      <w:r>
        <w:t>120th Session, 2013-2014</w:t>
      </w:r>
    </w:p>
    <w:p w:rsidR="006D132A" w:rsidRDefault="006D132A" w:rsidP="006D132A">
      <w:pPr>
        <w:widowControl w:val="0"/>
        <w:jc w:val="left"/>
      </w:pPr>
    </w:p>
    <w:p w:rsidR="006D132A" w:rsidRDefault="006D132A" w:rsidP="006D132A">
      <w:pPr>
        <w:widowControl w:val="0"/>
        <w:jc w:val="left"/>
        <w:rPr>
          <w:b/>
        </w:rPr>
      </w:pPr>
      <w:r w:rsidRPr="006D132A">
        <w:rPr>
          <w:b/>
        </w:rPr>
        <w:t>S.</w:t>
      </w:r>
      <w:r>
        <w:rPr>
          <w:b/>
        </w:rPr>
        <w:t xml:space="preserve"> </w:t>
      </w:r>
      <w:r w:rsidRPr="006D132A">
        <w:rPr>
          <w:b/>
        </w:rPr>
        <w:t>334</w:t>
      </w:r>
    </w:p>
    <w:p w:rsidR="006D132A" w:rsidRDefault="006D132A" w:rsidP="006D132A">
      <w:pPr>
        <w:widowControl w:val="0"/>
        <w:jc w:val="left"/>
        <w:rPr>
          <w:b/>
        </w:rPr>
      </w:pPr>
    </w:p>
    <w:p w:rsidR="006D132A" w:rsidRDefault="006D132A" w:rsidP="006D132A">
      <w:pPr>
        <w:widowControl w:val="0"/>
        <w:jc w:val="left"/>
      </w:pPr>
      <w:r w:rsidRPr="006D132A">
        <w:rPr>
          <w:b/>
        </w:rPr>
        <w:t>STATUS INFORMATION</w:t>
      </w:r>
    </w:p>
    <w:p w:rsidR="006D132A" w:rsidRDefault="006D132A" w:rsidP="006D132A">
      <w:pPr>
        <w:widowControl w:val="0"/>
        <w:jc w:val="left"/>
      </w:pPr>
    </w:p>
    <w:p w:rsidR="006D132A" w:rsidRDefault="006D132A" w:rsidP="006D132A">
      <w:pPr>
        <w:widowControl w:val="0"/>
        <w:jc w:val="left"/>
      </w:pPr>
      <w:r>
        <w:t>General Bill</w:t>
      </w:r>
    </w:p>
    <w:p w:rsidR="006D132A" w:rsidRDefault="00992769" w:rsidP="006D132A">
      <w:pPr>
        <w:widowControl w:val="0"/>
        <w:jc w:val="left"/>
      </w:pPr>
      <w:r>
        <w:t>Sponsors: Senators Leatherman, O'Dell, Bryant, Matthews, Jackson, Malloy, McGill, Fair, Coleman, Ford, Johnson, McElveen, Pinckney, Scott, Setzler, Williams, Nicholson, Allen, Lourie and Reese</w:t>
      </w:r>
    </w:p>
    <w:p w:rsidR="006D132A" w:rsidRDefault="006D132A" w:rsidP="006D132A">
      <w:pPr>
        <w:widowControl w:val="0"/>
        <w:jc w:val="left"/>
      </w:pPr>
      <w:r>
        <w:t>Document Path: l:\council\bills\nl\13125dg13.docx</w:t>
      </w:r>
    </w:p>
    <w:p w:rsidR="006D132A" w:rsidRDefault="006D132A" w:rsidP="006D132A">
      <w:pPr>
        <w:widowControl w:val="0"/>
        <w:jc w:val="left"/>
      </w:pPr>
    </w:p>
    <w:p w:rsidR="008F3875" w:rsidRDefault="008F3875" w:rsidP="006D132A">
      <w:pPr>
        <w:widowControl w:val="0"/>
        <w:jc w:val="left"/>
      </w:pPr>
      <w:r>
        <w:t>Introduced in the Senate on February 6, 2013</w:t>
      </w:r>
    </w:p>
    <w:p w:rsidR="008F3875" w:rsidRDefault="008F3875" w:rsidP="006D132A">
      <w:pPr>
        <w:widowControl w:val="0"/>
        <w:jc w:val="left"/>
      </w:pPr>
      <w:r>
        <w:t>Introduced in the House on April 17, 2013</w:t>
      </w:r>
    </w:p>
    <w:p w:rsidR="008F3875" w:rsidRDefault="008F3875" w:rsidP="006D132A">
      <w:pPr>
        <w:widowControl w:val="0"/>
        <w:jc w:val="left"/>
      </w:pPr>
      <w:r>
        <w:t>Last Amended on April 11, 2013</w:t>
      </w:r>
    </w:p>
    <w:p w:rsidR="008F3875" w:rsidRPr="008F3875" w:rsidRDefault="008F3875" w:rsidP="006D132A">
      <w:pPr>
        <w:widowControl w:val="0"/>
        <w:jc w:val="left"/>
      </w:pPr>
      <w:r>
        <w:t xml:space="preserve">Currently residing in the House Committee on </w:t>
      </w:r>
      <w:r w:rsidRPr="008F3875">
        <w:rPr>
          <w:b/>
        </w:rPr>
        <w:t>Ways and Means</w:t>
      </w:r>
    </w:p>
    <w:p w:rsidR="008F3875" w:rsidRDefault="008F3875" w:rsidP="006D132A">
      <w:pPr>
        <w:widowControl w:val="0"/>
        <w:jc w:val="left"/>
      </w:pPr>
    </w:p>
    <w:p w:rsidR="006D132A" w:rsidRDefault="006D132A" w:rsidP="006D132A">
      <w:pPr>
        <w:widowControl w:val="0"/>
        <w:jc w:val="left"/>
      </w:pPr>
      <w:r>
        <w:t xml:space="preserve">Summary: </w:t>
      </w:r>
      <w:r w:rsidR="00D32679">
        <w:t>Identity Theft Protection</w:t>
      </w:r>
    </w:p>
    <w:p w:rsidR="006D132A" w:rsidRDefault="006D132A" w:rsidP="006D132A">
      <w:pPr>
        <w:widowControl w:val="0"/>
        <w:jc w:val="left"/>
      </w:pPr>
    </w:p>
    <w:p w:rsidR="006D132A" w:rsidRDefault="006D132A" w:rsidP="006D132A">
      <w:pPr>
        <w:widowControl w:val="0"/>
        <w:jc w:val="left"/>
      </w:pPr>
    </w:p>
    <w:p w:rsidR="006D132A" w:rsidRDefault="006D132A" w:rsidP="006D132A">
      <w:pPr>
        <w:widowControl w:val="0"/>
        <w:tabs>
          <w:tab w:val="center" w:pos="590"/>
          <w:tab w:val="center" w:pos="1440"/>
          <w:tab w:val="left" w:pos="1872"/>
          <w:tab w:val="left" w:pos="9187"/>
        </w:tabs>
        <w:jc w:val="left"/>
      </w:pPr>
      <w:r w:rsidRPr="006D132A">
        <w:rPr>
          <w:b/>
        </w:rPr>
        <w:t>HISTORY OF LEGISLATIVE ACTIONS</w:t>
      </w:r>
    </w:p>
    <w:p w:rsidR="006D132A" w:rsidRDefault="006D132A" w:rsidP="006D132A">
      <w:pPr>
        <w:widowControl w:val="0"/>
        <w:tabs>
          <w:tab w:val="center" w:pos="590"/>
          <w:tab w:val="center" w:pos="1440"/>
          <w:tab w:val="left" w:pos="1872"/>
          <w:tab w:val="left" w:pos="9187"/>
        </w:tabs>
        <w:jc w:val="left"/>
      </w:pPr>
    </w:p>
    <w:p w:rsidR="006D132A" w:rsidRPr="006D132A" w:rsidRDefault="006D132A" w:rsidP="006D132A">
      <w:pPr>
        <w:widowControl w:val="0"/>
        <w:tabs>
          <w:tab w:val="center" w:pos="590"/>
          <w:tab w:val="center" w:pos="1440"/>
          <w:tab w:val="left" w:pos="1872"/>
          <w:tab w:val="left" w:pos="9187"/>
        </w:tabs>
        <w:jc w:val="left"/>
      </w:pPr>
      <w:r w:rsidRPr="006D132A">
        <w:rPr>
          <w:u w:val="single"/>
        </w:rPr>
        <w:tab/>
        <w:t>Date</w:t>
      </w:r>
      <w:r w:rsidRPr="006D132A">
        <w:rPr>
          <w:u w:val="single"/>
        </w:rPr>
        <w:tab/>
        <w:t>Body</w:t>
      </w:r>
      <w:r w:rsidRPr="006D132A">
        <w:rPr>
          <w:u w:val="single"/>
        </w:rPr>
        <w:tab/>
        <w:t>Action Description with journal page number</w:t>
      </w:r>
      <w:r w:rsidRPr="006D132A">
        <w:rPr>
          <w:u w:val="single"/>
        </w:rPr>
        <w:tab/>
      </w:r>
      <w:bookmarkStart w:id="0" w:name="_GoBack"/>
      <w:bookmarkEnd w:id="0"/>
    </w:p>
    <w:p w:rsidR="00681E52" w:rsidRDefault="00681E52" w:rsidP="00681E52">
      <w:pPr>
        <w:widowControl w:val="0"/>
        <w:tabs>
          <w:tab w:val="right" w:pos="1008"/>
          <w:tab w:val="left" w:pos="1152"/>
          <w:tab w:val="left" w:pos="1872"/>
          <w:tab w:val="left" w:pos="9187"/>
        </w:tabs>
        <w:ind w:left="2088" w:hanging="2088"/>
        <w:jc w:val="left"/>
      </w:pPr>
      <w:r>
        <w:tab/>
        <w:t>2/6/2013</w:t>
      </w:r>
      <w:r>
        <w:tab/>
        <w:t>Senate</w:t>
      </w:r>
      <w:r>
        <w:tab/>
      </w:r>
      <w:r w:rsidRPr="00AA6569">
        <w:t>Introduced and read first time (</w:t>
      </w:r>
      <w:hyperlink r:id="rId7" w:history="1">
        <w:r w:rsidRPr="00AA6569">
          <w:rPr>
            <w:rStyle w:val="Hyperlink"/>
          </w:rPr>
          <w:t>Senate Journal</w:t>
        </w:r>
        <w:r w:rsidRPr="00AA6569">
          <w:rPr>
            <w:rStyle w:val="Hyperlink"/>
          </w:rPr>
          <w:noBreakHyphen/>
          <w:t>page 5</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2/6/2013</w:t>
      </w:r>
      <w:r>
        <w:tab/>
        <w:t>Senate</w:t>
      </w:r>
      <w:r>
        <w:tab/>
      </w:r>
      <w:r w:rsidRPr="00AA6569">
        <w:t>R</w:t>
      </w:r>
      <w:r>
        <w:t xml:space="preserve">eferred to Committee on </w:t>
      </w:r>
      <w:r w:rsidRPr="00AA6569">
        <w:rPr>
          <w:b/>
        </w:rPr>
        <w:t>Finance</w:t>
      </w:r>
      <w:r>
        <w:t xml:space="preserve"> </w:t>
      </w:r>
      <w:r w:rsidRPr="00AA6569">
        <w:t>(</w:t>
      </w:r>
      <w:hyperlink r:id="rId8" w:history="1">
        <w:r w:rsidRPr="00AA6569">
          <w:rPr>
            <w:rStyle w:val="Hyperlink"/>
          </w:rPr>
          <w:t>Senate Journal</w:t>
        </w:r>
        <w:r w:rsidRPr="00AA6569">
          <w:rPr>
            <w:rStyle w:val="Hyperlink"/>
          </w:rPr>
          <w:noBreakHyphen/>
          <w:t>page 5</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3/20/2013</w:t>
      </w:r>
      <w:r>
        <w:tab/>
        <w:t>Senate</w:t>
      </w:r>
      <w:r>
        <w:tab/>
      </w:r>
      <w:r w:rsidRPr="00AA6569">
        <w:t>Committee r</w:t>
      </w:r>
      <w:r>
        <w:t xml:space="preserve">eport: Favorable with amendment </w:t>
      </w:r>
      <w:r w:rsidRPr="00AA6569">
        <w:rPr>
          <w:b/>
        </w:rPr>
        <w:t>Finance</w:t>
      </w:r>
      <w:r w:rsidRPr="00AA6569">
        <w:t xml:space="preserve"> (</w:t>
      </w:r>
      <w:hyperlink r:id="rId9" w:history="1">
        <w:r w:rsidRPr="00AA6569">
          <w:rPr>
            <w:rStyle w:val="Hyperlink"/>
          </w:rPr>
          <w:t>Senate Journal</w:t>
        </w:r>
        <w:r w:rsidRPr="00AA6569">
          <w:rPr>
            <w:rStyle w:val="Hyperlink"/>
          </w:rPr>
          <w:noBreakHyphen/>
          <w:t>page 12</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3/21/2013</w:t>
      </w:r>
      <w:r>
        <w:tab/>
      </w:r>
      <w:r>
        <w:tab/>
      </w:r>
      <w:r w:rsidRPr="00AA6569">
        <w:t>Scrivener's error corrected</w:t>
      </w:r>
    </w:p>
    <w:p w:rsidR="00681E52" w:rsidRDefault="00681E52" w:rsidP="00681E52">
      <w:pPr>
        <w:widowControl w:val="0"/>
        <w:tabs>
          <w:tab w:val="right" w:pos="1008"/>
          <w:tab w:val="left" w:pos="1152"/>
          <w:tab w:val="left" w:pos="1872"/>
          <w:tab w:val="left" w:pos="9187"/>
        </w:tabs>
        <w:ind w:left="2088" w:hanging="2088"/>
        <w:jc w:val="left"/>
      </w:pPr>
      <w:r>
        <w:tab/>
        <w:t>4/9/2013</w:t>
      </w:r>
      <w:r>
        <w:tab/>
        <w:t>Senate</w:t>
      </w:r>
      <w:r>
        <w:tab/>
      </w:r>
      <w:r w:rsidRPr="00AA6569">
        <w:t>Committee Amendment Adopted (</w:t>
      </w:r>
      <w:hyperlink r:id="rId10" w:history="1">
        <w:r w:rsidRPr="00AA6569">
          <w:rPr>
            <w:rStyle w:val="Hyperlink"/>
          </w:rPr>
          <w:t>Senate Journal</w:t>
        </w:r>
        <w:r w:rsidRPr="00AA6569">
          <w:rPr>
            <w:rStyle w:val="Hyperlink"/>
          </w:rPr>
          <w:noBreakHyphen/>
          <w:t>page 50</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4/10/2013</w:t>
      </w:r>
      <w:r>
        <w:tab/>
      </w:r>
      <w:r>
        <w:tab/>
      </w:r>
      <w:r w:rsidRPr="00AA6569">
        <w:t>Scrivener's error corrected</w:t>
      </w:r>
    </w:p>
    <w:p w:rsidR="00681E52" w:rsidRDefault="00681E52" w:rsidP="00681E52">
      <w:pPr>
        <w:widowControl w:val="0"/>
        <w:tabs>
          <w:tab w:val="right" w:pos="1008"/>
          <w:tab w:val="left" w:pos="1152"/>
          <w:tab w:val="left" w:pos="1872"/>
          <w:tab w:val="left" w:pos="9187"/>
        </w:tabs>
        <w:ind w:left="2088" w:hanging="2088"/>
        <w:jc w:val="left"/>
      </w:pPr>
      <w:r>
        <w:tab/>
        <w:t>4/10/2013</w:t>
      </w:r>
      <w:r>
        <w:tab/>
        <w:t>Senate</w:t>
      </w:r>
      <w:r>
        <w:tab/>
      </w:r>
      <w:r w:rsidRPr="00AA6569">
        <w:t>Amended (</w:t>
      </w:r>
      <w:hyperlink r:id="rId11" w:history="1">
        <w:r w:rsidRPr="00AA6569">
          <w:rPr>
            <w:rStyle w:val="Hyperlink"/>
          </w:rPr>
          <w:t>Senate Journal</w:t>
        </w:r>
        <w:r w:rsidRPr="00AA6569">
          <w:rPr>
            <w:rStyle w:val="Hyperlink"/>
          </w:rPr>
          <w:noBreakHyphen/>
          <w:t>page 50</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4/11/2013</w:t>
      </w:r>
      <w:r>
        <w:tab/>
        <w:t>Senate</w:t>
      </w:r>
      <w:r>
        <w:tab/>
      </w:r>
      <w:r w:rsidRPr="00AA6569">
        <w:t>Amended (</w:t>
      </w:r>
      <w:hyperlink r:id="rId12" w:history="1">
        <w:r w:rsidRPr="00AA6569">
          <w:rPr>
            <w:rStyle w:val="Hyperlink"/>
          </w:rPr>
          <w:t>Senate Journal</w:t>
        </w:r>
        <w:r w:rsidRPr="00AA6569">
          <w:rPr>
            <w:rStyle w:val="Hyperlink"/>
          </w:rPr>
          <w:noBreakHyphen/>
          <w:t>page 14</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4/11/2013</w:t>
      </w:r>
      <w:r>
        <w:tab/>
        <w:t>Senate</w:t>
      </w:r>
      <w:r>
        <w:tab/>
      </w:r>
      <w:r w:rsidRPr="00AA6569">
        <w:t>Roll call Ayes</w:t>
      </w:r>
      <w:r>
        <w:noBreakHyphen/>
      </w:r>
      <w:r w:rsidRPr="00AA6569">
        <w:t>41  Nays</w:t>
      </w:r>
      <w:r>
        <w:noBreakHyphen/>
      </w:r>
      <w:r w:rsidRPr="00AA6569">
        <w:t>0 (</w:t>
      </w:r>
      <w:hyperlink r:id="rId13" w:history="1">
        <w:r w:rsidRPr="00AA6569">
          <w:rPr>
            <w:rStyle w:val="Hyperlink"/>
          </w:rPr>
          <w:t>Senate Journal</w:t>
        </w:r>
        <w:r w:rsidRPr="00AA6569">
          <w:rPr>
            <w:rStyle w:val="Hyperlink"/>
          </w:rPr>
          <w:noBreakHyphen/>
          <w:t>page 14</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4/11/2013</w:t>
      </w:r>
      <w:r>
        <w:tab/>
        <w:t>Senate</w:t>
      </w:r>
      <w:r>
        <w:tab/>
      </w:r>
      <w:r w:rsidRPr="00AA6569">
        <w:t>Read second time (</w:t>
      </w:r>
      <w:hyperlink r:id="rId14" w:history="1">
        <w:r w:rsidRPr="00AA6569">
          <w:rPr>
            <w:rStyle w:val="Hyperlink"/>
          </w:rPr>
          <w:t>Senate Journal</w:t>
        </w:r>
        <w:r w:rsidRPr="00AA6569">
          <w:rPr>
            <w:rStyle w:val="Hyperlink"/>
          </w:rPr>
          <w:noBreakHyphen/>
          <w:t>page 14</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4/11/2013</w:t>
      </w:r>
      <w:r>
        <w:tab/>
        <w:t>Senate</w:t>
      </w:r>
      <w:r>
        <w:tab/>
      </w:r>
      <w:r w:rsidRPr="00AA6569">
        <w:t>Roll call Ayes</w:t>
      </w:r>
      <w:r>
        <w:noBreakHyphen/>
      </w:r>
      <w:r w:rsidRPr="00AA6569">
        <w:t>40  Nays</w:t>
      </w:r>
      <w:r>
        <w:noBreakHyphen/>
      </w:r>
      <w:r w:rsidRPr="00AA6569">
        <w:t>0 (</w:t>
      </w:r>
      <w:hyperlink r:id="rId15" w:history="1">
        <w:r w:rsidRPr="00AA6569">
          <w:rPr>
            <w:rStyle w:val="Hyperlink"/>
          </w:rPr>
          <w:t>Senate Journal</w:t>
        </w:r>
        <w:r w:rsidRPr="00AA6569">
          <w:rPr>
            <w:rStyle w:val="Hyperlink"/>
          </w:rPr>
          <w:noBreakHyphen/>
          <w:t>page 14</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4/12/2013</w:t>
      </w:r>
      <w:r>
        <w:tab/>
      </w:r>
      <w:r>
        <w:tab/>
      </w:r>
      <w:r w:rsidRPr="00AA6569">
        <w:t>Scrivener's error corrected</w:t>
      </w:r>
    </w:p>
    <w:p w:rsidR="00681E52" w:rsidRDefault="00681E52" w:rsidP="00681E52">
      <w:pPr>
        <w:widowControl w:val="0"/>
        <w:tabs>
          <w:tab w:val="right" w:pos="1008"/>
          <w:tab w:val="left" w:pos="1152"/>
          <w:tab w:val="left" w:pos="1872"/>
          <w:tab w:val="left" w:pos="9187"/>
        </w:tabs>
        <w:ind w:left="2088" w:hanging="2088"/>
        <w:jc w:val="left"/>
      </w:pPr>
      <w:r>
        <w:tab/>
        <w:t>4/15/2013</w:t>
      </w:r>
      <w:r>
        <w:tab/>
      </w:r>
      <w:r>
        <w:tab/>
      </w:r>
      <w:r w:rsidRPr="00AA6569">
        <w:t>Scrivener's error corrected</w:t>
      </w:r>
    </w:p>
    <w:p w:rsidR="00681E52" w:rsidRDefault="00681E52" w:rsidP="00681E52">
      <w:pPr>
        <w:widowControl w:val="0"/>
        <w:tabs>
          <w:tab w:val="right" w:pos="1008"/>
          <w:tab w:val="left" w:pos="1152"/>
          <w:tab w:val="left" w:pos="1872"/>
          <w:tab w:val="left" w:pos="9187"/>
        </w:tabs>
        <w:ind w:left="2088" w:hanging="2088"/>
        <w:jc w:val="left"/>
      </w:pPr>
      <w:r>
        <w:tab/>
        <w:t>4/16/2013</w:t>
      </w:r>
      <w:r>
        <w:tab/>
        <w:t>Senate</w:t>
      </w:r>
      <w:r>
        <w:tab/>
      </w:r>
      <w:r w:rsidRPr="00AA6569">
        <w:t>Re</w:t>
      </w:r>
      <w:r>
        <w:t xml:space="preserve">ad third time and sent to House </w:t>
      </w:r>
      <w:r w:rsidRPr="00AA6569">
        <w:t>(</w:t>
      </w:r>
      <w:hyperlink r:id="rId16" w:history="1">
        <w:r w:rsidRPr="00AA6569">
          <w:rPr>
            <w:rStyle w:val="Hyperlink"/>
          </w:rPr>
          <w:t>Senate Journal</w:t>
        </w:r>
        <w:r w:rsidRPr="00AA6569">
          <w:rPr>
            <w:rStyle w:val="Hyperlink"/>
          </w:rPr>
          <w:noBreakHyphen/>
          <w:t>page 20</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4/17/2013</w:t>
      </w:r>
      <w:r>
        <w:tab/>
        <w:t>House</w:t>
      </w:r>
      <w:r>
        <w:tab/>
      </w:r>
      <w:r w:rsidRPr="00AA6569">
        <w:t>Introduced and read first time (</w:t>
      </w:r>
      <w:hyperlink r:id="rId17" w:history="1">
        <w:r w:rsidRPr="00AA6569">
          <w:rPr>
            <w:rStyle w:val="Hyperlink"/>
          </w:rPr>
          <w:t>House Journal</w:t>
        </w:r>
        <w:r w:rsidRPr="00AA6569">
          <w:rPr>
            <w:rStyle w:val="Hyperlink"/>
          </w:rPr>
          <w:noBreakHyphen/>
          <w:t>page 16</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r>
        <w:tab/>
        <w:t>4/17/2013</w:t>
      </w:r>
      <w:r>
        <w:tab/>
        <w:t>House</w:t>
      </w:r>
      <w:r>
        <w:tab/>
      </w:r>
      <w:r w:rsidRPr="00AA6569">
        <w:t>Referred</w:t>
      </w:r>
      <w:r>
        <w:t xml:space="preserve"> to Committee on </w:t>
      </w:r>
      <w:r w:rsidRPr="00AA6569">
        <w:rPr>
          <w:b/>
        </w:rPr>
        <w:t>Ways and Means</w:t>
      </w:r>
      <w:r>
        <w:t xml:space="preserve"> </w:t>
      </w:r>
      <w:r w:rsidRPr="00AA6569">
        <w:t>(</w:t>
      </w:r>
      <w:hyperlink r:id="rId18" w:history="1">
        <w:r w:rsidRPr="00AA6569">
          <w:rPr>
            <w:rStyle w:val="Hyperlink"/>
          </w:rPr>
          <w:t>House Journal</w:t>
        </w:r>
        <w:r w:rsidRPr="00AA6569">
          <w:rPr>
            <w:rStyle w:val="Hyperlink"/>
          </w:rPr>
          <w:noBreakHyphen/>
          <w:t>page 16</w:t>
        </w:r>
      </w:hyperlink>
      <w:r w:rsidRPr="00AA6569">
        <w:t>)</w:t>
      </w:r>
    </w:p>
    <w:p w:rsidR="00681E52" w:rsidRDefault="00681E52" w:rsidP="00681E52">
      <w:pPr>
        <w:widowControl w:val="0"/>
        <w:tabs>
          <w:tab w:val="right" w:pos="1008"/>
          <w:tab w:val="left" w:pos="1152"/>
          <w:tab w:val="left" w:pos="1872"/>
          <w:tab w:val="left" w:pos="9187"/>
        </w:tabs>
        <w:ind w:left="2088" w:hanging="2088"/>
        <w:jc w:val="left"/>
      </w:pPr>
    </w:p>
    <w:p w:rsidR="006D132A" w:rsidRPr="006D132A" w:rsidRDefault="006D132A" w:rsidP="006D132A">
      <w:pPr>
        <w:widowControl w:val="0"/>
        <w:tabs>
          <w:tab w:val="right" w:pos="1008"/>
          <w:tab w:val="left" w:pos="1152"/>
          <w:tab w:val="left" w:pos="1872"/>
          <w:tab w:val="left" w:pos="9187"/>
        </w:tabs>
        <w:ind w:left="2088" w:hanging="2088"/>
        <w:jc w:val="left"/>
      </w:pPr>
    </w:p>
    <w:p w:rsidR="006D132A" w:rsidRDefault="006D132A" w:rsidP="006D132A">
      <w:pPr>
        <w:widowControl w:val="0"/>
        <w:jc w:val="left"/>
      </w:pPr>
      <w:r w:rsidRPr="006D132A">
        <w:rPr>
          <w:b/>
        </w:rPr>
        <w:t>VERSIONS OF THIS BILL</w:t>
      </w:r>
    </w:p>
    <w:p w:rsidR="006D132A" w:rsidRDefault="006D132A" w:rsidP="006D132A">
      <w:pPr>
        <w:widowControl w:val="0"/>
        <w:jc w:val="left"/>
      </w:pPr>
    </w:p>
    <w:p w:rsidR="006D132A" w:rsidRDefault="00FD2F27" w:rsidP="006D132A">
      <w:pPr>
        <w:widowControl w:val="0"/>
        <w:jc w:val="left"/>
      </w:pPr>
      <w:hyperlink r:id="rId19" w:history="1">
        <w:r w:rsidR="006D132A">
          <w:rPr>
            <w:rStyle w:val="Hyperlink"/>
          </w:rPr>
          <w:t>2/6/2013</w:t>
        </w:r>
      </w:hyperlink>
    </w:p>
    <w:p w:rsidR="00BD3685" w:rsidRDefault="00FD2F27" w:rsidP="006D132A">
      <w:hyperlink r:id="rId20" w:history="1">
        <w:r w:rsidR="00BD3685" w:rsidRPr="00BD3685">
          <w:rPr>
            <w:rStyle w:val="Hyperlink"/>
          </w:rPr>
          <w:t>3/20/2013</w:t>
        </w:r>
      </w:hyperlink>
    </w:p>
    <w:p w:rsidR="006208D7" w:rsidRDefault="00FD2F27" w:rsidP="006D132A">
      <w:hyperlink r:id="rId21" w:history="1">
        <w:r w:rsidR="006208D7" w:rsidRPr="006208D7">
          <w:rPr>
            <w:rStyle w:val="Hyperlink"/>
          </w:rPr>
          <w:t>3/21/2013</w:t>
        </w:r>
      </w:hyperlink>
    </w:p>
    <w:p w:rsidR="000C0A77" w:rsidRDefault="00FD2F27" w:rsidP="006D132A">
      <w:hyperlink r:id="rId22" w:history="1">
        <w:r w:rsidR="000C0A77" w:rsidRPr="000C0A77">
          <w:rPr>
            <w:rStyle w:val="Hyperlink"/>
          </w:rPr>
          <w:t>4/9/2013</w:t>
        </w:r>
      </w:hyperlink>
    </w:p>
    <w:p w:rsidR="003C0636" w:rsidRDefault="00FD2F27" w:rsidP="006D132A">
      <w:hyperlink r:id="rId23" w:history="1">
        <w:r w:rsidR="003C0636" w:rsidRPr="003C0636">
          <w:rPr>
            <w:rStyle w:val="Hyperlink"/>
          </w:rPr>
          <w:t>4/10/2013</w:t>
        </w:r>
      </w:hyperlink>
    </w:p>
    <w:p w:rsidR="001031F4" w:rsidRDefault="00FD2F27" w:rsidP="006D132A">
      <w:hyperlink r:id="rId24" w:history="1">
        <w:r w:rsidR="001031F4" w:rsidRPr="001031F4">
          <w:rPr>
            <w:rStyle w:val="Hyperlink"/>
          </w:rPr>
          <w:t>4/11/2013</w:t>
        </w:r>
      </w:hyperlink>
    </w:p>
    <w:p w:rsidR="009D6907" w:rsidRDefault="00FD2F27" w:rsidP="006D132A">
      <w:hyperlink r:id="rId25" w:history="1">
        <w:r w:rsidR="009D6907" w:rsidRPr="009D6907">
          <w:rPr>
            <w:rStyle w:val="Hyperlink"/>
          </w:rPr>
          <w:t>4/12/2013</w:t>
        </w:r>
      </w:hyperlink>
    </w:p>
    <w:p w:rsidR="00116B25" w:rsidRDefault="00FD2F27" w:rsidP="006D132A">
      <w:hyperlink r:id="rId26" w:history="1">
        <w:r w:rsidR="00116B25" w:rsidRPr="00116B25">
          <w:rPr>
            <w:rStyle w:val="Hyperlink"/>
          </w:rPr>
          <w:t>4/15/2013</w:t>
        </w:r>
      </w:hyperlink>
    </w:p>
    <w:p w:rsidR="006D132A" w:rsidRDefault="006D132A" w:rsidP="006D132A"/>
    <w:p w:rsidR="006D132A" w:rsidRDefault="006D132A" w:rsidP="006D132A">
      <w:pPr>
        <w:sectPr w:rsidR="006D132A" w:rsidSect="006D132A">
          <w:pgSz w:w="12240" w:h="15840" w:code="1"/>
          <w:pgMar w:top="1080" w:right="1440" w:bottom="1080" w:left="1440" w:header="720" w:footer="720" w:gutter="0"/>
          <w:cols w:space="720"/>
          <w:noEndnote/>
          <w:docGrid w:linePitch="360"/>
        </w:sectPr>
      </w:pPr>
    </w:p>
    <w:p w:rsidR="00116B25" w:rsidRDefault="00116B25" w:rsidP="00C77974">
      <w:pPr>
        <w:pStyle w:val="BillDots0"/>
        <w:tabs>
          <w:tab w:val="clear" w:pos="216"/>
          <w:tab w:val="clear" w:pos="432"/>
          <w:tab w:val="clear" w:pos="648"/>
          <w:tab w:val="clear" w:pos="864"/>
          <w:tab w:val="clear" w:pos="1080"/>
          <w:tab w:val="clear" w:pos="1296"/>
          <w:tab w:val="clear" w:pos="5904"/>
          <w:tab w:val="right" w:pos="5933"/>
        </w:tabs>
      </w:pPr>
      <w:r>
        <w:lastRenderedPageBreak/>
        <w:t>AMENDED</w:t>
      </w:r>
    </w:p>
    <w:p w:rsidR="00116B25" w:rsidRDefault="00116B25" w:rsidP="00C77974">
      <w:pPr>
        <w:pStyle w:val="BillDots0"/>
        <w:tabs>
          <w:tab w:val="clear" w:pos="216"/>
          <w:tab w:val="clear" w:pos="432"/>
          <w:tab w:val="clear" w:pos="648"/>
          <w:tab w:val="clear" w:pos="864"/>
          <w:tab w:val="clear" w:pos="1080"/>
          <w:tab w:val="clear" w:pos="1296"/>
          <w:tab w:val="clear" w:pos="5904"/>
          <w:tab w:val="right" w:pos="5933"/>
        </w:tabs>
      </w:pPr>
      <w:r>
        <w:t>April 11, 2013</w:t>
      </w:r>
    </w:p>
    <w:p w:rsidR="00116B25" w:rsidRDefault="00116B25" w:rsidP="00C77974">
      <w:pPr>
        <w:pStyle w:val="BillDots0"/>
        <w:tabs>
          <w:tab w:val="clear" w:pos="216"/>
          <w:tab w:val="clear" w:pos="432"/>
          <w:tab w:val="clear" w:pos="648"/>
          <w:tab w:val="clear" w:pos="864"/>
          <w:tab w:val="clear" w:pos="1080"/>
          <w:tab w:val="clear" w:pos="1296"/>
          <w:tab w:val="clear" w:pos="5904"/>
          <w:tab w:val="right" w:pos="5933"/>
        </w:tabs>
      </w:pPr>
    </w:p>
    <w:p w:rsidR="00116B25" w:rsidRPr="00C77974" w:rsidRDefault="00116B25" w:rsidP="00C77974">
      <w:pPr>
        <w:pStyle w:val="BillDots0"/>
        <w:tabs>
          <w:tab w:val="clear" w:pos="216"/>
          <w:tab w:val="clear" w:pos="432"/>
          <w:tab w:val="clear" w:pos="648"/>
          <w:tab w:val="clear" w:pos="864"/>
          <w:tab w:val="clear" w:pos="1080"/>
          <w:tab w:val="clear" w:pos="1296"/>
          <w:tab w:val="clear" w:pos="5904"/>
          <w:tab w:val="right" w:pos="5933"/>
        </w:tabs>
      </w:pPr>
      <w:r>
        <w:tab/>
      </w:r>
      <w:r>
        <w:rPr>
          <w:b/>
          <w:sz w:val="36"/>
        </w:rPr>
        <w:t>S. 334</w:t>
      </w:r>
    </w:p>
    <w:p w:rsidR="00116B25" w:rsidRDefault="00116B25" w:rsidP="00DF7316">
      <w:pPr>
        <w:pStyle w:val="BillDots0"/>
      </w:pPr>
    </w:p>
    <w:p w:rsidR="00116B25" w:rsidRDefault="00116B25" w:rsidP="00DF7316">
      <w:pPr>
        <w:pStyle w:val="BillDots0"/>
      </w:pPr>
      <w:r>
        <w:t>Introduced by Senators Leatherman, O’Dell, Bryant, Matthews, Jackson, Malloy, McGill, Fair, Coleman, Ford, Johnson, McElveen, Pinckney, Scott, Setzler, Williams, Nicholson, Allen, Lourie and Reese</w:t>
      </w:r>
    </w:p>
    <w:p w:rsidR="00116B25" w:rsidRDefault="00116B25" w:rsidP="00DF7316">
      <w:pPr>
        <w:pStyle w:val="BillDots0"/>
      </w:pPr>
    </w:p>
    <w:p w:rsidR="00116B25" w:rsidRDefault="00116B25" w:rsidP="00523B74">
      <w:pPr>
        <w:pStyle w:val="BillDots0"/>
        <w:tabs>
          <w:tab w:val="clear" w:pos="216"/>
          <w:tab w:val="clear" w:pos="432"/>
          <w:tab w:val="clear" w:pos="648"/>
          <w:tab w:val="clear" w:pos="864"/>
          <w:tab w:val="clear" w:pos="1080"/>
          <w:tab w:val="clear" w:pos="1296"/>
          <w:tab w:val="clear" w:pos="5904"/>
          <w:tab w:val="right" w:pos="5933"/>
        </w:tabs>
      </w:pPr>
      <w:r>
        <w:t>S. Printed 4/11/13--S.</w:t>
      </w:r>
      <w:r>
        <w:tab/>
        <w:t>[SEC 4/15/13 1:35 PM]</w:t>
      </w:r>
    </w:p>
    <w:p w:rsidR="00116B25" w:rsidRDefault="00116B25" w:rsidP="00DF7316">
      <w:pPr>
        <w:pStyle w:val="BillDots0"/>
      </w:pPr>
      <w:r>
        <w:t>Read the first time February 6, 2013.</w:t>
      </w:r>
    </w:p>
    <w:p w:rsidR="00116B25" w:rsidRPr="00C77974" w:rsidRDefault="00116B25" w:rsidP="00C77974">
      <w:pPr>
        <w:pStyle w:val="BillDots0"/>
        <w:jc w:val="center"/>
      </w:pPr>
      <w:r>
        <w:rPr>
          <w:u w:val="single"/>
        </w:rPr>
        <w:t>            </w:t>
      </w:r>
    </w:p>
    <w:p w:rsidR="00116B25" w:rsidRDefault="00116B25" w:rsidP="00DF7316">
      <w:pPr>
        <w:pStyle w:val="BillDots0"/>
        <w:sectPr w:rsidR="00116B25" w:rsidSect="00C77974">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116B25" w:rsidRPr="00C77974" w:rsidRDefault="00116B25" w:rsidP="00DF7316">
      <w:pPr>
        <w:pStyle w:val="BillDots0"/>
      </w:pPr>
    </w:p>
    <w:p w:rsidR="00116B25" w:rsidRDefault="00116B25" w:rsidP="00DF7316">
      <w:pPr>
        <w:pStyle w:val="Numbersforbills"/>
      </w:pPr>
    </w:p>
    <w:p w:rsidR="00116B25" w:rsidRDefault="00116B25"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Default="00116B25"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Default="00116B25"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Default="00116B25"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Default="00116B25"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Default="0011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Pr="00325348" w:rsidRDefault="00116B25"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16B25" w:rsidRDefault="0011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Pr="00974B31" w:rsidRDefault="00116B25"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4B31">
        <w:rPr>
          <w:color w:val="000000" w:themeColor="text1"/>
          <w:u w:color="000000" w:themeColor="text1"/>
        </w:rPr>
        <w:t>TO AMEND THE CODE OF LAWS OF SOUTH CAROLINA, 1976, BY ADDING SECTION 12</w:t>
      </w:r>
      <w:r>
        <w:rPr>
          <w:color w:val="000000" w:themeColor="text1"/>
          <w:u w:color="000000" w:themeColor="text1"/>
        </w:rPr>
        <w:noBreakHyphen/>
      </w:r>
      <w:r w:rsidRPr="00974B31">
        <w:rPr>
          <w:color w:val="000000" w:themeColor="text1"/>
          <w:u w:color="000000" w:themeColor="text1"/>
        </w:rPr>
        <w:t>4</w:t>
      </w:r>
      <w:r>
        <w:rPr>
          <w:color w:val="000000" w:themeColor="text1"/>
          <w:u w:color="000000" w:themeColor="text1"/>
        </w:rPr>
        <w:noBreakHyphen/>
      </w:r>
      <w:r w:rsidRPr="00974B31">
        <w:rPr>
          <w:color w:val="000000" w:themeColor="text1"/>
          <w:u w:color="000000" w:themeColor="text1"/>
        </w:rPr>
        <w:t>352 SO AS TO RE</w:t>
      </w:r>
      <w:r>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Pr>
          <w:color w:val="000000" w:themeColor="text1"/>
          <w:u w:color="000000" w:themeColor="text1"/>
        </w:rPr>
        <w:t>BY ADDING</w:t>
      </w:r>
      <w:r w:rsidRPr="00974B31">
        <w:rPr>
          <w:color w:val="000000" w:themeColor="text1"/>
          <w:u w:color="000000" w:themeColor="text1"/>
        </w:rPr>
        <w:t xml:space="preserve"> SECTION 12</w:t>
      </w:r>
      <w:r>
        <w:rPr>
          <w:color w:val="000000" w:themeColor="text1"/>
          <w:u w:color="000000" w:themeColor="text1"/>
        </w:rPr>
        <w:noBreakHyphen/>
      </w:r>
      <w:r w:rsidRPr="00974B31">
        <w:rPr>
          <w:color w:val="000000" w:themeColor="text1"/>
          <w:u w:color="000000" w:themeColor="text1"/>
        </w:rPr>
        <w:t>6</w:t>
      </w:r>
      <w:r>
        <w:rPr>
          <w:color w:val="000000" w:themeColor="text1"/>
          <w:u w:color="000000" w:themeColor="text1"/>
        </w:rPr>
        <w:noBreakHyphen/>
      </w:r>
      <w:r w:rsidRPr="00974B31">
        <w:rPr>
          <w:color w:val="000000" w:themeColor="text1"/>
          <w:u w:color="000000" w:themeColor="text1"/>
        </w:rPr>
        <w:t>114</w:t>
      </w:r>
      <w:r>
        <w:rPr>
          <w:color w:val="000000" w:themeColor="text1"/>
          <w:u w:color="000000" w:themeColor="text1"/>
        </w:rPr>
        <w:t>1</w:t>
      </w:r>
      <w:r w:rsidRPr="00974B31">
        <w:rPr>
          <w:color w:val="000000" w:themeColor="text1"/>
          <w:u w:color="000000" w:themeColor="text1"/>
        </w:rPr>
        <w:t>, SO AS TO PROVIDE A</w:t>
      </w:r>
      <w:r>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Pr>
          <w:color w:val="000000" w:themeColor="text1"/>
          <w:u w:color="000000" w:themeColor="text1"/>
        </w:rPr>
        <w:noBreakHyphen/>
      </w:r>
      <w:r w:rsidRPr="00974B31">
        <w:rPr>
          <w:color w:val="000000" w:themeColor="text1"/>
          <w:u w:color="000000" w:themeColor="text1"/>
        </w:rPr>
        <w:t>3</w:t>
      </w:r>
      <w:r>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Pr>
          <w:color w:val="000000" w:themeColor="text1"/>
          <w:u w:color="000000" w:themeColor="text1"/>
        </w:rPr>
        <w:noBreakHyphen/>
      </w:r>
      <w:r w:rsidRPr="00974B31">
        <w:rPr>
          <w:color w:val="000000" w:themeColor="text1"/>
          <w:u w:color="000000" w:themeColor="text1"/>
        </w:rPr>
        <w:t>30</w:t>
      </w:r>
      <w:r>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116B25" w:rsidRDefault="0011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16B25" w:rsidRDefault="0011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9B7E73">
        <w:rPr>
          <w:color w:val="000000" w:themeColor="text1"/>
          <w:u w:color="000000" w:themeColor="text1"/>
        </w:rPr>
        <w:t>Whereas, between August 13, 2012 and September 15, 2012, a cyber criminal gained unprecedented access to forty</w:t>
      </w:r>
      <w:r w:rsidRPr="009B7E73">
        <w:rPr>
          <w:color w:val="000000" w:themeColor="text1"/>
          <w:u w:color="000000" w:themeColor="text1"/>
        </w:rPr>
        <w:noBreakHyphen/>
        <w:t>four South Carolina Department of Revenue computer systems utilizing thirty</w:t>
      </w:r>
      <w:r w:rsidRPr="009B7E73">
        <w:rPr>
          <w:color w:val="000000" w:themeColor="text1"/>
          <w:u w:color="000000" w:themeColor="text1"/>
        </w:rPr>
        <w:noBreakHyphen/>
        <w:t xml:space="preserve">three unique and undetected pieces of malicious software, leading to the ultimate theft of more than six million of the </w:t>
      </w:r>
      <w:r>
        <w:rPr>
          <w:color w:val="000000" w:themeColor="text1"/>
          <w:u w:color="000000" w:themeColor="text1"/>
        </w:rPr>
        <w:t>s</w:t>
      </w:r>
      <w:r w:rsidRPr="009B7E73">
        <w:rPr>
          <w:color w:val="000000" w:themeColor="text1"/>
          <w:u w:color="000000" w:themeColor="text1"/>
        </w:rPr>
        <w:t>tate’s taxpayers’ most sensitive pieces of personal identifying information that were not encrypted, including social security numbers, bank account information, and credit card numbers;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at no time during this extended period did the Department of Revenue prevent, mitigate, or detect the presence of the cyber criminal, who ultimately uploaded nearly seventy</w:t>
      </w:r>
      <w:r w:rsidRPr="009B7E73">
        <w:rPr>
          <w:color w:val="000000" w:themeColor="text1"/>
          <w:u w:color="000000" w:themeColor="text1"/>
        </w:rPr>
        <w:noBreakHyphen/>
        <w:t xml:space="preserve">five gigabytes of data containing millions of pieces of the </w:t>
      </w:r>
      <w:r>
        <w:rPr>
          <w:color w:val="000000" w:themeColor="text1"/>
          <w:u w:color="000000" w:themeColor="text1"/>
        </w:rPr>
        <w:t>state’s</w:t>
      </w:r>
      <w:r w:rsidRPr="009B7E73">
        <w:rPr>
          <w:color w:val="000000" w:themeColor="text1"/>
          <w:u w:color="000000" w:themeColor="text1"/>
        </w:rPr>
        <w:t xml:space="preserve"> citizens’ personal and financial information;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theft protection and resolution services;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could expose them, and their children, to long</w:t>
      </w:r>
      <w:r w:rsidRPr="009B7E73">
        <w:rPr>
          <w:color w:val="000000" w:themeColor="text1"/>
          <w:u w:color="000000" w:themeColor="text1"/>
        </w:rPr>
        <w:noBreakHyphen/>
        <w:t>term identity theft vulnerabilities;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failure of the Department of Revenue to adequately protect taxpayers from this cyber security breach, warrants the provision of identity theft protection and resolution services to eligible persons beyond the initial year, free of charge;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declined technology services, including cyber security services, that had been offered free of charge by another entity of state government;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determined that the encryption of taxpayers’ personally identifiable information was too costly and cumbersome to pursue;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under the </w:t>
      </w:r>
      <w:r>
        <w:rPr>
          <w:color w:val="000000" w:themeColor="text1"/>
          <w:u w:color="000000" w:themeColor="text1"/>
        </w:rPr>
        <w:t>state’s</w:t>
      </w:r>
      <w:r w:rsidRPr="009B7E73">
        <w:rPr>
          <w:color w:val="000000" w:themeColor="text1"/>
          <w:u w:color="000000" w:themeColor="text1"/>
        </w:rPr>
        <w:t xml:space="preserve"> current decentralized approach to information security, each agency decides its own risk tolerance for data loss and creates its own information security plan, absent statewide oversight and standards, thereby undermining the </w:t>
      </w:r>
      <w:r>
        <w:rPr>
          <w:color w:val="000000" w:themeColor="text1"/>
          <w:u w:color="000000" w:themeColor="text1"/>
        </w:rPr>
        <w:t>state’s</w:t>
      </w:r>
      <w:r w:rsidRPr="009B7E73">
        <w:rPr>
          <w:color w:val="000000" w:themeColor="text1"/>
          <w:u w:color="000000" w:themeColor="text1"/>
        </w:rPr>
        <w:t xml:space="preserve"> overall cyber security posture and creating unacceptable risks for data breaches throughout all of state government;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creation of a centralized D</w:t>
      </w:r>
      <w:r>
        <w:rPr>
          <w:color w:val="000000" w:themeColor="text1"/>
          <w:u w:color="000000" w:themeColor="text1"/>
        </w:rPr>
        <w:t xml:space="preserve">ivision </w:t>
      </w:r>
      <w:r w:rsidRPr="009B7E73">
        <w:rPr>
          <w:color w:val="000000" w:themeColor="text1"/>
          <w:u w:color="000000" w:themeColor="text1"/>
        </w:rPr>
        <w:t>of Information Security is necessary to provide statewide oversight and standards to all South Carolina State and local governments to protect the personally identifiable information of all citizens and taxpayers of this State;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development and implementation of a single, common, statewide technology direction is fundamental to every aspect of state government, and that the creation of the D</w:t>
      </w:r>
      <w:r>
        <w:rPr>
          <w:color w:val="000000" w:themeColor="text1"/>
          <w:u w:color="000000" w:themeColor="text1"/>
        </w:rPr>
        <w:t>ivision</w:t>
      </w:r>
      <w:r w:rsidRPr="009B7E73">
        <w:rPr>
          <w:color w:val="000000" w:themeColor="text1"/>
          <w:u w:color="000000" w:themeColor="text1"/>
        </w:rPr>
        <w:t xml:space="preserve"> of Information Security will best support the State in this endeavor to unify it</w:t>
      </w:r>
      <w:r>
        <w:rPr>
          <w:color w:val="000000" w:themeColor="text1"/>
          <w:u w:color="000000" w:themeColor="text1"/>
        </w:rPr>
        <w:t>s technology strategies while i</w:t>
      </w:r>
      <w:r w:rsidRPr="009B7E73">
        <w:rPr>
          <w:color w:val="000000" w:themeColor="text1"/>
          <w:u w:color="000000" w:themeColor="text1"/>
        </w:rPr>
        <w:t xml:space="preserve">dentifying those solutions which best improve the protection of the personally identifiable information of the </w:t>
      </w:r>
      <w:r>
        <w:rPr>
          <w:color w:val="000000" w:themeColor="text1"/>
          <w:u w:color="000000" w:themeColor="text1"/>
        </w:rPr>
        <w:t>state’s</w:t>
      </w:r>
      <w:r w:rsidRPr="009B7E73">
        <w:rPr>
          <w:color w:val="000000" w:themeColor="text1"/>
          <w:u w:color="000000" w:themeColor="text1"/>
        </w:rPr>
        <w:t xml:space="preserve"> citizens.  Now, therefore,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E73">
        <w:t>Be it enacted by the General Assembly of the State of South Carolina:</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t>SECTION</w:t>
      </w:r>
      <w:r w:rsidRPr="009B7E73">
        <w:tab/>
        <w:t>1.</w:t>
      </w:r>
      <w:r w:rsidRPr="009B7E73">
        <w:tab/>
      </w:r>
      <w:r w:rsidRPr="009B7E73">
        <w:rPr>
          <w:color w:val="000000" w:themeColor="text1"/>
          <w:u w:color="000000" w:themeColor="text1"/>
        </w:rPr>
        <w:t xml:space="preserve">A. </w:t>
      </w:r>
      <w:r w:rsidRPr="009B7E73">
        <w:rPr>
          <w:color w:val="000000" w:themeColor="text1"/>
          <w:u w:color="000000" w:themeColor="text1"/>
        </w:rPr>
        <w:tab/>
        <w:t>Article 3, Chapter 4, Title 12 of the 1976 Code is amended by adding:</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4</w:t>
      </w:r>
      <w:r w:rsidRPr="009B7E73">
        <w:rPr>
          <w:color w:val="000000" w:themeColor="text1"/>
          <w:u w:color="000000" w:themeColor="text1"/>
        </w:rPr>
        <w:noBreakHyphen/>
        <w:t>352.</w:t>
      </w:r>
      <w:r w:rsidRPr="009B7E73">
        <w:rPr>
          <w:color w:val="000000" w:themeColor="text1"/>
          <w:u w:color="000000" w:themeColor="text1"/>
        </w:rPr>
        <w:tab/>
        <w:t>(A)</w:t>
      </w:r>
      <w:r w:rsidRPr="009B7E73">
        <w:rPr>
          <w:color w:val="000000" w:themeColor="text1"/>
          <w:u w:color="000000" w:themeColor="text1"/>
        </w:rPr>
        <w:tab/>
        <w:t>As used in this section:</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(1)</w:t>
      </w:r>
      <w:r w:rsidRPr="009B7E73">
        <w:rPr>
          <w:color w:val="000000" w:themeColor="text1"/>
          <w:u w:color="000000" w:themeColor="text1"/>
        </w:rPr>
        <w:tab/>
        <w:t xml:space="preserve">‘Eligible person’ means a taxpayer that filed a return with the department for any taxable year after 1997 and before 2013, whether by paper or electronic transmission, or any </w:t>
      </w:r>
      <w:r>
        <w:rPr>
          <w:color w:val="000000" w:themeColor="text1"/>
          <w:u w:color="000000" w:themeColor="text1"/>
        </w:rPr>
        <w:t xml:space="preserve">person </w:t>
      </w:r>
      <w:r w:rsidRPr="009B7E73">
        <w:rPr>
          <w:color w:val="000000" w:themeColor="text1"/>
          <w:u w:color="000000" w:themeColor="text1"/>
        </w:rPr>
        <w:t>whose personally identifiable information was contained on the return of another eligible person, including minor dependents.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‘Identity theft protection’ means identity fraud and protection products and services </w:t>
      </w:r>
      <w:r>
        <w:rPr>
          <w:color w:val="000000" w:themeColor="text1"/>
          <w:u w:color="000000" w:themeColor="text1"/>
        </w:rPr>
        <w:t xml:space="preserve">that attempt to proactively detect, notify, or prevent unauthorized access or misuse of a person’s identifying information </w:t>
      </w:r>
      <w:r w:rsidRPr="009B7E73">
        <w:rPr>
          <w:color w:val="000000" w:themeColor="text1"/>
          <w:u w:color="000000" w:themeColor="text1"/>
        </w:rPr>
        <w:t>or financial information to fraudulently obtain resources, credit, government documents or benefits, phone or other utility services, bank or savings accounts, loans, or other benefits in the person’s name.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 xml:space="preserve">‘Identity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(4)</w:t>
      </w:r>
      <w:r w:rsidRPr="009B7E73">
        <w:rPr>
          <w:color w:val="000000" w:themeColor="text1"/>
          <w:u w:color="000000" w:themeColor="text1"/>
        </w:rPr>
        <w:tab/>
        <w:t xml:space="preserve">‘Person’ means an individual, corporation, firm, association, joint venture, partnership, limited liability corporation, or any other business entity.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(5)</w:t>
      </w:r>
      <w:r w:rsidRPr="009B7E73">
        <w:rPr>
          <w:color w:val="000000" w:themeColor="text1"/>
          <w:u w:color="000000" w:themeColor="text1"/>
        </w:rPr>
        <w:tab/>
        <w:t xml:space="preserve">‘Personally identifiable information’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(B)(1)</w:t>
      </w:r>
      <w:r w:rsidRPr="009B7E73">
        <w:rPr>
          <w:color w:val="000000" w:themeColor="text1"/>
          <w:u w:color="000000" w:themeColor="text1"/>
        </w:rPr>
        <w:tab/>
        <w:t>The Governor shall develop a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The Governor shall develop and implement a policy that is designed to ensure the safety of all personally identifiable information in possession of the Department of Revenue.  The policy shall include, but is not limited to, the encryption of personally identifiable information both during transmission and at rest.</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The protection plan and policy implemented pursuant to items (1) and (2) may include assistance from or services provided by any executive branch agency of state government, including the Department of Consumer Affairs.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(C)(1)</w:t>
      </w:r>
      <w:r w:rsidRPr="009B7E73">
        <w:rPr>
          <w:color w:val="000000" w:themeColor="text1"/>
          <w:u w:color="000000" w:themeColor="text1"/>
        </w:rPr>
        <w:tab/>
        <w:t>The protection plan implemented pursuant to subsection (B)(1)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Pr="009B7E73">
        <w:rPr>
          <w:color w:val="000000" w:themeColor="text1"/>
          <w:u w:color="000000" w:themeColor="text1"/>
        </w:rPr>
        <w:noBreakHyphen/>
        <w:t>35</w:t>
      </w:r>
      <w:r w:rsidRPr="009B7E73">
        <w:rPr>
          <w:color w:val="000000" w:themeColor="text1"/>
          <w:u w:color="000000" w:themeColor="text1"/>
        </w:rPr>
        <w:noBreakHyphen/>
        <w:t>1530.  Prior to issuance, the Governor’s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Pr="009B7E73">
        <w:rPr>
          <w:color w:val="000000" w:themeColor="text1"/>
          <w:u w:color="000000" w:themeColor="text1"/>
        </w:rPr>
        <w:noBreakHyphen/>
        <w:t>35</w:t>
      </w:r>
      <w:r w:rsidRPr="009B7E73">
        <w:rPr>
          <w:color w:val="000000" w:themeColor="text1"/>
          <w:u w:color="000000" w:themeColor="text1"/>
        </w:rPr>
        <w:noBreakHyphen/>
        <w:t>1530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Any contract entered into pursuant to subsection (B)(1) must be for a term of no more than five years.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  Based on the findings of the report, the Governor may extend the provision of one or more services offered pursuant to subsection (B)(1) for one additional term of up to five years; however, the provisions of item (1) of this subsection must be complied with in procuring another contract.</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No service provided pursuant to subsection (B)(1) may be procured for a cost if the same service is available to eligible persons for free under state or federal law.</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(D)(1)</w:t>
      </w:r>
      <w:r w:rsidRPr="009B7E73">
        <w:rPr>
          <w:color w:val="000000" w:themeColor="text1"/>
          <w:u w:color="000000" w:themeColor="text1"/>
        </w:rPr>
        <w:tab/>
        <w:t xml:space="preserve">In order to ensure that every eligible person obtains identity theft protection and identity theft resolution services pursuant to subsection (B)(1), </w:t>
      </w:r>
      <w:r>
        <w:rPr>
          <w:color w:val="000000" w:themeColor="text1"/>
          <w:u w:color="000000" w:themeColor="text1"/>
        </w:rPr>
        <w:t>to the extent allowed by</w:t>
      </w:r>
      <w:r w:rsidRPr="009B7E73">
        <w:rPr>
          <w:color w:val="000000" w:themeColor="text1"/>
          <w:u w:color="000000" w:themeColor="text1"/>
        </w:rPr>
        <w:t xml:space="preserve"> </w:t>
      </w:r>
      <w:r>
        <w:rPr>
          <w:color w:val="000000" w:themeColor="text1"/>
          <w:u w:color="000000" w:themeColor="text1"/>
        </w:rPr>
        <w:t xml:space="preserve">federal or state </w:t>
      </w:r>
      <w:r w:rsidRPr="009B7E73">
        <w:rPr>
          <w:color w:val="000000" w:themeColor="text1"/>
          <w:u w:color="000000" w:themeColor="text1"/>
        </w:rPr>
        <w:t>law,</w:t>
      </w:r>
      <w:r>
        <w:rPr>
          <w:color w:val="000000" w:themeColor="text1"/>
          <w:u w:color="000000" w:themeColor="text1"/>
        </w:rPr>
        <w:t xml:space="preserve"> including Section 30-2-320,</w:t>
      </w:r>
      <w:r w:rsidRPr="009B7E73">
        <w:rPr>
          <w:color w:val="000000" w:themeColor="text1"/>
          <w:u w:color="000000" w:themeColor="text1"/>
        </w:rPr>
        <w:t xml:space="preserve"> the Governor and the Department of Revenue must develop and implement a policy to make enrollment as simple as possible for each eligible person.  The policy may include, but is not limited to, automatic enrollment, </w:t>
      </w:r>
      <w:r>
        <w:rPr>
          <w:color w:val="000000" w:themeColor="text1"/>
          <w:u w:color="000000" w:themeColor="text1"/>
        </w:rPr>
        <w:t xml:space="preserve">provided that there is an opt-out mechanism for otherwise eligible persons, </w:t>
      </w:r>
      <w:r w:rsidRPr="009B7E73">
        <w:rPr>
          <w:color w:val="000000" w:themeColor="text1"/>
          <w:u w:color="000000" w:themeColor="text1"/>
        </w:rPr>
        <w:t>enrollment authorization on a tax return filed in this State, and enrollment authorization through a secure protected server on the department’s website.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to enroll.  The report also must detail the efforts of the Governor and the Department of Revenue to increase enrollment in the programs.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(E)</w:t>
      </w:r>
      <w:r w:rsidRPr="009B7E73">
        <w:rPr>
          <w:color w:val="000000" w:themeColor="text1"/>
          <w:u w:color="000000" w:themeColor="text1"/>
        </w:rPr>
        <w:tab/>
        <w:t>The Governor must include the estimated costs of implementing this section when submitting the executive budget pursuant to Article 1, Chapter 11, Title 11.  Also, if the department, or an executive branch of state government, including the Department of Consumer Affairs, anticipate funds are necessary to implement the provisions of this section, they must account specifically for such estimated costs in making their annual budget request to the Office of State Budget pursuant to Article 1, Chapter 11, Title 11.</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(F)</w:t>
      </w:r>
      <w:r w:rsidRPr="009B7E73">
        <w:rPr>
          <w:color w:val="000000" w:themeColor="text1"/>
          <w:u w:color="000000" w:themeColor="text1"/>
        </w:rPr>
        <w:tab/>
        <w:t>Nothing in this section creates a private right of action or an expenditure of funds.”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Article 9, Chapter 6, Title 12 of the 1976 Code is amended by adding:</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6</w:t>
      </w:r>
      <w:r w:rsidRPr="009B7E73">
        <w:rPr>
          <w:color w:val="000000" w:themeColor="text1"/>
          <w:u w:color="000000" w:themeColor="text1"/>
        </w:rPr>
        <w:noBreakHyphen/>
        <w:t>1141.</w:t>
      </w:r>
      <w:r w:rsidRPr="009B7E73">
        <w:rPr>
          <w:color w:val="000000" w:themeColor="text1"/>
          <w:u w:color="000000" w:themeColor="text1"/>
        </w:rPr>
        <w:tab/>
        <w:t>(A)</w:t>
      </w:r>
      <w:r w:rsidRPr="009B7E73">
        <w:rPr>
          <w:color w:val="000000" w:themeColor="text1"/>
          <w:u w:color="000000" w:themeColor="text1"/>
        </w:rPr>
        <w:tab/>
        <w:t>In addition to the deductions allowed in Section 12</w:t>
      </w:r>
      <w:r w:rsidRPr="009B7E73">
        <w:rPr>
          <w:color w:val="000000" w:themeColor="text1"/>
          <w:u w:color="000000" w:themeColor="text1"/>
        </w:rPr>
        <w:noBreakHyphen/>
        <w:t>6</w:t>
      </w:r>
      <w:r w:rsidRPr="009B7E73">
        <w:rPr>
          <w:color w:val="000000" w:themeColor="text1"/>
          <w:u w:color="000000" w:themeColor="text1"/>
        </w:rPr>
        <w:noBreakHyphen/>
        <w:t xml:space="preserve">1140,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w:t>
      </w:r>
      <w:r>
        <w:rPr>
          <w:color w:val="000000" w:themeColor="text1"/>
          <w:u w:color="000000" w:themeColor="text1"/>
        </w:rPr>
        <w:t xml:space="preserve">a monthly or annual contract or subscription for </w:t>
      </w:r>
      <w:r w:rsidRPr="009B7E73">
        <w:rPr>
          <w:color w:val="000000" w:themeColor="text1"/>
          <w:u w:color="000000" w:themeColor="text1"/>
        </w:rPr>
        <w:t>identity theft protection</w:t>
      </w:r>
      <w:r>
        <w:rPr>
          <w:color w:val="000000" w:themeColor="text1"/>
          <w:u w:color="000000" w:themeColor="text1"/>
        </w:rPr>
        <w:t xml:space="preserve"> and </w:t>
      </w:r>
      <w:r w:rsidRPr="009B7E73">
        <w:rPr>
          <w:color w:val="000000" w:themeColor="text1"/>
          <w:u w:color="000000" w:themeColor="text1"/>
        </w:rPr>
        <w:t>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program pursuant to Section 12</w:t>
      </w:r>
      <w:r w:rsidRPr="009B7E73">
        <w:rPr>
          <w:color w:val="000000" w:themeColor="text1"/>
          <w:u w:color="000000" w:themeColor="text1"/>
        </w:rPr>
        <w:noBreakHyphen/>
        <w:t>4</w:t>
      </w:r>
      <w:r w:rsidRPr="009B7E73">
        <w:rPr>
          <w:color w:val="000000" w:themeColor="text1"/>
          <w:u w:color="000000" w:themeColor="text1"/>
        </w:rPr>
        <w:noBreakHyphen/>
        <w:t>352(B)(1). For purposes of this item, ‘identity theft protection’ and ‘identity theft resolution services’ have the same meaning as provided in Section 12</w:t>
      </w:r>
      <w:r w:rsidRPr="009B7E73">
        <w:rPr>
          <w:color w:val="000000" w:themeColor="text1"/>
          <w:u w:color="000000" w:themeColor="text1"/>
        </w:rPr>
        <w:noBreakHyphen/>
        <w:t>4</w:t>
      </w:r>
      <w:r w:rsidRPr="009B7E73">
        <w:rPr>
          <w:color w:val="000000" w:themeColor="text1"/>
          <w:u w:color="000000" w:themeColor="text1"/>
        </w:rPr>
        <w:noBreakHyphen/>
        <w:t>352</w:t>
      </w:r>
      <w:r>
        <w:rPr>
          <w:color w:val="000000" w:themeColor="text1"/>
          <w:u w:color="000000" w:themeColor="text1"/>
        </w:rPr>
        <w:t>.</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The department shall prescribe the necessary forms to claim the deduction allowed by this section.  The department may require the taxpayer to provide proof of the actual costs and the taxpayer’s eligibility.</w:t>
      </w:r>
      <w:r>
        <w:rPr>
          <w:color w:val="000000" w:themeColor="text1"/>
          <w:u w:color="000000" w:themeColor="text1"/>
        </w:rPr>
        <w:t>”</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C</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9B7E73">
        <w:rPr>
          <w:color w:val="000000" w:themeColor="text1"/>
          <w:u w:color="000000" w:themeColor="text1"/>
        </w:rPr>
        <w:t>Unless reauthorized by the General Assembly, SECTION 1B, as contained in this act, is repealed on January 1, 2018, and only applies to tax years beginning after 2012 and ending before 2018.</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2.</w:t>
      </w:r>
      <w:r w:rsidRPr="009B7E73">
        <w:rPr>
          <w:color w:val="000000" w:themeColor="text1"/>
          <w:u w:color="000000" w:themeColor="text1"/>
        </w:rPr>
        <w:tab/>
        <w:t>A.</w:t>
      </w:r>
      <w:r w:rsidRPr="009B7E73">
        <w:rPr>
          <w:color w:val="000000" w:themeColor="text1"/>
          <w:u w:color="000000" w:themeColor="text1"/>
        </w:rPr>
        <w:tab/>
        <w:t>Chapter 6, Title 37 of the 1976 Code is amended by adding:</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“Part 7</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Identity Theft Unit</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701.</w:t>
      </w:r>
      <w:r w:rsidRPr="009B7E73">
        <w:rPr>
          <w:color w:val="000000" w:themeColor="text1"/>
          <w:u w:color="000000" w:themeColor="text1"/>
        </w:rPr>
        <w:tab/>
        <w:t xml:space="preserve">There is created within the Department of Consumer Affairs the Identity Theft Unit with duties and organizations as provided in this part.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702.</w:t>
      </w:r>
      <w:r w:rsidRPr="009B7E73">
        <w:rPr>
          <w:color w:val="000000" w:themeColor="text1"/>
          <w:u w:color="000000" w:themeColor="text1"/>
        </w:rPr>
        <w:tab/>
        <w:t>The Identity Theft Unit must be staffed and equipped to perform the functions prescribed in Section 37</w:t>
      </w:r>
      <w:r w:rsidRPr="009B7E73">
        <w:rPr>
          <w:color w:val="000000" w:themeColor="text1"/>
          <w:u w:color="000000" w:themeColor="text1"/>
        </w:rPr>
        <w:noBreakHyphen/>
        <w:t>6</w:t>
      </w:r>
      <w:r w:rsidRPr="009B7E73">
        <w:rPr>
          <w:color w:val="000000" w:themeColor="text1"/>
          <w:u w:color="000000" w:themeColor="text1"/>
        </w:rPr>
        <w:noBreakHyphen/>
        <w:t>703.</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703.</w:t>
      </w:r>
      <w:r w:rsidRPr="009B7E73">
        <w:rPr>
          <w:color w:val="000000" w:themeColor="text1"/>
          <w:u w:color="000000" w:themeColor="text1"/>
        </w:rPr>
        <w:tab/>
        <w:t xml:space="preserve">The purpose of the Identity Theft Unit is to promote the protection of individuals’ personal information, establish programs to inform the public with respect to identity theft, identity fraud and related unlawful conduct or practices, and provide identity theft and fraud resolution services to victims.  The unit shall: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receive complaints concerning identity theft, identity fraud, and related crimes;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provide information and advice to the public on effective ways of handling complaints that involve identity theft, identity fraud, and related crimes;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assist victims of identity theft, identity fraud, and related crimes in rectifying the effects of the theft or fraud through personalized assistance;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 xml:space="preserve">refer complaints where appropriate to local, </w:t>
      </w:r>
      <w:r>
        <w:rPr>
          <w:color w:val="000000" w:themeColor="text1"/>
          <w:u w:color="000000" w:themeColor="text1"/>
        </w:rPr>
        <w:t>state</w:t>
      </w:r>
      <w:r w:rsidRPr="009B7E73">
        <w:rPr>
          <w:color w:val="000000" w:themeColor="text1"/>
          <w:u w:color="000000" w:themeColor="text1"/>
        </w:rPr>
        <w:t xml:space="preserve">, or federal agencies that are available to assist the public with identity theft, identity fraud, and related crimes;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 xml:space="preserve">identify consumer problems in, and promote and facilitate the development and use of best practices in the protection of the privacy of personal information;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(7)</w:t>
      </w:r>
      <w:r w:rsidRPr="009B7E73">
        <w:rPr>
          <w:color w:val="000000" w:themeColor="text1"/>
          <w:u w:color="000000" w:themeColor="text1"/>
        </w:rPr>
        <w:tab/>
        <w:t>promote voluntary and mutually agreed upon non</w:t>
      </w:r>
      <w:r>
        <w:rPr>
          <w:color w:val="000000" w:themeColor="text1"/>
          <w:u w:color="000000" w:themeColor="text1"/>
        </w:rPr>
        <w:t>-</w:t>
      </w:r>
      <w:r w:rsidRPr="009B7E73">
        <w:rPr>
          <w:color w:val="000000" w:themeColor="text1"/>
          <w:u w:color="000000" w:themeColor="text1"/>
        </w:rPr>
        <w:t xml:space="preserve">binding mediation of identity theft and identity fraud disputes where appropriate;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(8)</w:t>
      </w:r>
      <w:r w:rsidRPr="009B7E73">
        <w:rPr>
          <w:color w:val="000000" w:themeColor="text1"/>
          <w:u w:color="000000" w:themeColor="text1"/>
        </w:rPr>
        <w:tab/>
        <w:t xml:space="preserve">cooperate and assist local, </w:t>
      </w:r>
      <w:r>
        <w:rPr>
          <w:color w:val="000000" w:themeColor="text1"/>
          <w:u w:color="000000" w:themeColor="text1"/>
        </w:rPr>
        <w:t>state</w:t>
      </w:r>
      <w:r w:rsidRPr="009B7E73">
        <w:rPr>
          <w:color w:val="000000" w:themeColor="text1"/>
          <w:u w:color="000000" w:themeColor="text1"/>
        </w:rPr>
        <w:t>, and federal law enforcement agencies in carrying out their legal enforcement responsibilities related to identity theft and identity fraud;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(9)</w:t>
      </w:r>
      <w:r w:rsidRPr="009B7E73">
        <w:rPr>
          <w:color w:val="000000" w:themeColor="text1"/>
          <w:u w:color="000000" w:themeColor="text1"/>
        </w:rPr>
        <w:tab/>
        <w:t xml:space="preserve">assist and coordinate in the training of local, </w:t>
      </w:r>
      <w:r>
        <w:rPr>
          <w:color w:val="000000" w:themeColor="text1"/>
          <w:u w:color="000000" w:themeColor="text1"/>
        </w:rPr>
        <w:t>state</w:t>
      </w:r>
      <w:r w:rsidRPr="009B7E73">
        <w:rPr>
          <w:color w:val="000000" w:themeColor="text1"/>
          <w:u w:color="000000" w:themeColor="text1"/>
        </w:rPr>
        <w:t>, and federal law enforcement agencies regarding identity theft, identity fraud, and other privacy related crimes;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(10)</w:t>
      </w:r>
      <w:r w:rsidRPr="009B7E73">
        <w:rPr>
          <w:color w:val="000000" w:themeColor="text1"/>
          <w:u w:color="000000" w:themeColor="text1"/>
        </w:rPr>
        <w:tab/>
        <w:t>provide a centralized location where information related to incidents of identity theft may be securely stored and accessed for the benefit of victims of identity theft.</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704.</w:t>
      </w:r>
      <w:r w:rsidRPr="009B7E73">
        <w:rPr>
          <w:color w:val="000000" w:themeColor="text1"/>
          <w:u w:color="000000" w:themeColor="text1"/>
        </w:rPr>
        <w:tab/>
        <w:t xml:space="preserve">By March fifteenth of each year, the division shall issue a report to the Governor, the General Assembly, and the Joint Information Security Oversight Committee with recommendations, including the text of an amendment effectuating the recommendations, to </w:t>
      </w:r>
      <w:r>
        <w:rPr>
          <w:color w:val="000000" w:themeColor="text1"/>
          <w:u w:color="000000" w:themeColor="text1"/>
        </w:rPr>
        <w:t>state</w:t>
      </w:r>
      <w:r w:rsidRPr="009B7E73">
        <w:rPr>
          <w:color w:val="000000" w:themeColor="text1"/>
          <w:u w:color="000000" w:themeColor="text1"/>
        </w:rPr>
        <w:t xml:space="preserve"> and federal law, including the Consumer Protection Code, regarding identity theft that would reduce the occurrence of identity theft and the costs, monetary and otherwise, of identity theft.”</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B.</w:t>
      </w:r>
      <w:r w:rsidRPr="009B7E73">
        <w:rPr>
          <w:color w:val="000000" w:themeColor="text1"/>
          <w:u w:color="000000" w:themeColor="text1"/>
        </w:rPr>
        <w:tab/>
        <w:t>Notwithstanding the general effective date of this act, this SECTION takes effect October 1, 2013.</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SECTION</w:t>
      </w:r>
      <w:r w:rsidRPr="00ED6160">
        <w:rPr>
          <w:color w:val="000000" w:themeColor="text1"/>
          <w:u w:color="000000" w:themeColor="text1"/>
        </w:rPr>
        <w:tab/>
        <w:t>3.</w:t>
      </w:r>
      <w:r w:rsidRPr="00ED6160">
        <w:rPr>
          <w:color w:val="000000" w:themeColor="text1"/>
          <w:u w:color="000000" w:themeColor="text1"/>
        </w:rPr>
        <w:tab/>
        <w:t xml:space="preserve">A. </w:t>
      </w:r>
      <w:r w:rsidRPr="00ED6160">
        <w:rPr>
          <w:color w:val="000000" w:themeColor="text1"/>
          <w:u w:color="000000" w:themeColor="text1"/>
        </w:rPr>
        <w:tab/>
        <w:t>Title 1 of the 1976 Code is amended by adding:</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“CHAPTER 36</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Information Security</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Article 1</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Division of Information Security</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 xml:space="preserve">10. </w:t>
      </w:r>
      <w:r w:rsidRPr="00ED6160">
        <w:rPr>
          <w:color w:val="000000" w:themeColor="text1"/>
          <w:u w:color="000000" w:themeColor="text1"/>
        </w:rPr>
        <w:tab/>
        <w:t>(A)</w:t>
      </w:r>
      <w:r w:rsidRPr="00ED6160">
        <w:rPr>
          <w:color w:val="000000" w:themeColor="text1"/>
          <w:u w:color="000000" w:themeColor="text1"/>
        </w:rPr>
        <w:tab/>
        <w:t xml:space="preserve">There is hereby established within the Budget and Control Board the Division of Information Security that is dedicated to the protection of the </w:t>
      </w:r>
      <w:r>
        <w:rPr>
          <w:color w:val="000000" w:themeColor="text1"/>
          <w:u w:color="000000" w:themeColor="text1"/>
        </w:rPr>
        <w:t>state’s</w:t>
      </w:r>
      <w:r w:rsidRPr="00ED6160">
        <w:rPr>
          <w:color w:val="000000" w:themeColor="text1"/>
          <w:u w:color="000000" w:themeColor="text1"/>
        </w:rPr>
        <w:t xml:space="preserve">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w:t>
      </w:r>
      <w:r>
        <w:rPr>
          <w:color w:val="000000" w:themeColor="text1"/>
          <w:u w:color="000000" w:themeColor="text1"/>
        </w:rPr>
        <w:t>,</w:t>
      </w:r>
      <w:r w:rsidRPr="00ED6160">
        <w:rPr>
          <w:color w:val="000000" w:themeColor="text1"/>
          <w:u w:color="000000" w:themeColor="text1"/>
        </w:rPr>
        <w:t xml:space="preserve">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Information Security and consider all factors including areas requiring specialized skill sets, and should include components necessary to recruit and retain highly qualified information technology professionals to the State.</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reappoint the Chief Information Security Officer for additional terms. The Chief Information Security Officer’s compensation must not be reduced during the Chief Information Security Officer’s uninterrupted continued tenure in office.</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The Chief Information Security Officer may be removed from office only by the Governor as provided in Section 1</w:t>
      </w:r>
      <w:r w:rsidRPr="00ED6160">
        <w:rPr>
          <w:color w:val="000000" w:themeColor="text1"/>
          <w:u w:color="000000" w:themeColor="text1"/>
        </w:rPr>
        <w:noBreakHyphen/>
        <w:t>3</w:t>
      </w:r>
      <w:r w:rsidRPr="00ED6160">
        <w:rPr>
          <w:color w:val="000000" w:themeColor="text1"/>
          <w:u w:color="000000" w:themeColor="text1"/>
        </w:rPr>
        <w:noBreakHyphen/>
        <w:t>240(C).</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20.(A)</w:t>
      </w:r>
      <w:r w:rsidRPr="00ED6160">
        <w:rPr>
          <w:color w:val="000000" w:themeColor="text1"/>
          <w:u w:color="000000" w:themeColor="text1"/>
        </w:rPr>
        <w:tab/>
        <w:t>In consultation with appropriate agency heads, the Chief Information Security Officer shall develop cyber security policies, guidelines, and standards.  The Chief Information Security Officer shall oversee the implementation of and compliance with established standards.  Each agency or agency head shall, under the management of the Division of State Information Technology, install and administer</w:t>
      </w:r>
      <w:r>
        <w:rPr>
          <w:color w:val="000000" w:themeColor="text1"/>
          <w:u w:color="000000" w:themeColor="text1"/>
        </w:rPr>
        <w:t xml:space="preserve"> state data security systems on</w:t>
      </w:r>
      <w:r w:rsidRPr="00ED6160">
        <w:rPr>
          <w:color w:val="000000" w:themeColor="text1"/>
          <w:u w:color="000000" w:themeColor="text1"/>
        </w:rPr>
        <w:t xml:space="preserve"> its computer facilities consistent with these policies, guidelines, standards, and state law to ensure the integrity of computer</w:t>
      </w:r>
      <w:r w:rsidRPr="00ED6160">
        <w:rPr>
          <w:color w:val="000000" w:themeColor="text1"/>
          <w:u w:color="000000" w:themeColor="text1"/>
        </w:rPr>
        <w:noBreakHyphen/>
        <w:t>based and other data and to ensure applicable limitations on access to data.  In furtherance of and in addition to these duties, the Chief Information Security Officer shall:</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include the identification and routine assessment of security risks at the agency level in the information security plan developed;</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(2)</w:t>
      </w:r>
      <w:r w:rsidRPr="00ED6160">
        <w:rPr>
          <w:color w:val="000000" w:themeColor="text1"/>
          <w:u w:color="000000" w:themeColor="text1"/>
        </w:rPr>
        <w:tab/>
        <w:t>regularly audit agencies to monitor compliance with established standards;</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(3)</w:t>
      </w:r>
      <w:r w:rsidRPr="00ED6160">
        <w:rPr>
          <w:color w:val="000000" w:themeColor="text1"/>
          <w:u w:color="000000" w:themeColor="text1"/>
        </w:rPr>
        <w:tab/>
        <w:t>require in the information security plan developed that agencies ensure service contractors follow established procedures when providing contracted services;</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coordinate all incident responses to agency cyber security breaches; and</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offer security services to agencies.</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The Chief Information Security Officer is responsible for overall security of state agency networks connected to the Internet as a component of the overall in</w:t>
      </w:r>
      <w:r>
        <w:rPr>
          <w:color w:val="000000" w:themeColor="text1"/>
          <w:u w:color="000000" w:themeColor="text1"/>
        </w:rPr>
        <w:t xml:space="preserve">formation technology function. </w:t>
      </w:r>
      <w:r w:rsidRPr="00ED6160">
        <w:rPr>
          <w:color w:val="000000" w:themeColor="text1"/>
          <w:u w:color="000000" w:themeColor="text1"/>
        </w:rPr>
        <w:t xml:space="preserve"> Information technology remains the responsibility of the </w:t>
      </w:r>
      <w:r>
        <w:rPr>
          <w:color w:val="000000" w:themeColor="text1"/>
          <w:u w:color="000000" w:themeColor="text1"/>
        </w:rPr>
        <w:t>D</w:t>
      </w:r>
      <w:r w:rsidRPr="00ED6160">
        <w:rPr>
          <w:color w:val="000000" w:themeColor="text1"/>
          <w:u w:color="000000" w:themeColor="text1"/>
        </w:rPr>
        <w:t>irector of the Division of State Information Technology.  Each agency or agency head is responsible for the security of the agency’s data within the guidelines of the policy established by the Chief Information Security Officer.</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30.</w:t>
      </w:r>
      <w:r w:rsidRPr="00ED6160">
        <w:rPr>
          <w:color w:val="000000" w:themeColor="text1"/>
          <w:u w:color="000000" w:themeColor="text1"/>
        </w:rPr>
        <w:tab/>
      </w:r>
      <w:r>
        <w:rPr>
          <w:color w:val="000000" w:themeColor="text1"/>
          <w:u w:color="000000" w:themeColor="text1"/>
        </w:rPr>
        <w:t>(A)</w:t>
      </w:r>
      <w:r w:rsidRPr="00ED6160">
        <w:rPr>
          <w:color w:val="000000" w:themeColor="text1"/>
          <w:u w:color="000000" w:themeColor="text1"/>
        </w:rPr>
        <w:tab/>
        <w:t>In developing policies, guidelines, and standards, the Chief Information Security Officer must consider:</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 xml:space="preserve">developing an information technology </w:t>
      </w:r>
      <w:r>
        <w:rPr>
          <w:color w:val="000000" w:themeColor="text1"/>
          <w:u w:color="000000" w:themeColor="text1"/>
        </w:rPr>
        <w:t xml:space="preserve">security </w:t>
      </w:r>
      <w:r w:rsidRPr="00ED6160">
        <w:rPr>
          <w:color w:val="000000" w:themeColor="text1"/>
          <w:u w:color="000000" w:themeColor="text1"/>
        </w:rPr>
        <w:t>governance structure that is inclusive of all agencies;</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(2)</w:t>
      </w:r>
      <w:r w:rsidRPr="00ED6160">
        <w:rPr>
          <w:color w:val="000000" w:themeColor="text1"/>
          <w:u w:color="000000" w:themeColor="text1"/>
        </w:rPr>
        <w:tab/>
        <w:t>adopting control objectives to manage, implement, and maintain information technology s</w:t>
      </w:r>
      <w:r>
        <w:rPr>
          <w:color w:val="000000" w:themeColor="text1"/>
          <w:u w:color="000000" w:themeColor="text1"/>
        </w:rPr>
        <w:t>ecurity</w:t>
      </w:r>
      <w:r w:rsidRPr="00ED6160">
        <w:rPr>
          <w:color w:val="000000" w:themeColor="text1"/>
          <w:u w:color="000000" w:themeColor="text1"/>
        </w:rPr>
        <w:t>;</w:t>
      </w:r>
      <w:bookmarkStart w:id="5" w:name="temp"/>
      <w:bookmarkEnd w:id="5"/>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Pr>
          <w:color w:val="000000" w:themeColor="text1"/>
          <w:u w:color="000000" w:themeColor="text1"/>
        </w:rPr>
        <w:tab/>
      </w:r>
      <w:r w:rsidRPr="00ED6160">
        <w:rPr>
          <w:color w:val="000000" w:themeColor="text1"/>
          <w:u w:color="000000" w:themeColor="text1"/>
        </w:rPr>
        <w:t>(3)</w:t>
      </w:r>
      <w:r w:rsidRPr="00ED6160">
        <w:rPr>
          <w:color w:val="000000" w:themeColor="text1"/>
          <w:u w:color="000000" w:themeColor="text1"/>
        </w:rPr>
        <w:tab/>
        <w:t>developing security metrics that accurately measure unwanted intrusions, security breaches, penetrations, and vulnerabilities;</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developing security standards based on a full risk assessment of critical infrastructure vulnerabilities; and</w:t>
      </w:r>
    </w:p>
    <w:p w:rsidR="00116B25"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developing a method for the sharing of security information sharing and analysis.</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090">
        <w:rPr>
          <w:color w:val="000000" w:themeColor="text1"/>
          <w:u w:color="000000" w:themeColor="text1"/>
        </w:rPr>
        <w:t>(B)</w:t>
      </w:r>
      <w:r w:rsidRPr="00927090">
        <w:rPr>
          <w:color w:val="000000" w:themeColor="text1"/>
          <w:u w:color="000000" w:themeColor="text1"/>
        </w:rPr>
        <w:tab/>
        <w:t xml:space="preserve">The Chief Information Security Officer and the </w:t>
      </w:r>
      <w:r>
        <w:rPr>
          <w:color w:val="000000" w:themeColor="text1"/>
          <w:u w:color="000000" w:themeColor="text1"/>
        </w:rPr>
        <w:t>D</w:t>
      </w:r>
      <w:r w:rsidRPr="00927090">
        <w:rPr>
          <w:color w:val="000000" w:themeColor="text1"/>
          <w:u w:color="000000" w:themeColor="text1"/>
        </w:rPr>
        <w:t>irector of the Division of State Information Technology shall collaborate with each other in developing policies, guidelines</w:t>
      </w:r>
      <w:r>
        <w:rPr>
          <w:color w:val="000000" w:themeColor="text1"/>
          <w:u w:color="000000" w:themeColor="text1"/>
        </w:rPr>
        <w:t>,</w:t>
      </w:r>
      <w:r w:rsidRPr="00927090">
        <w:rPr>
          <w:color w:val="000000" w:themeColor="text1"/>
          <w:u w:color="000000" w:themeColor="text1"/>
        </w:rPr>
        <w:t xml:space="preserve"> and standards required by each office. </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40.</w:t>
      </w:r>
      <w:r w:rsidRPr="00ED6160">
        <w:rPr>
          <w:color w:val="000000" w:themeColor="text1"/>
          <w:u w:color="000000" w:themeColor="text1"/>
        </w:rPr>
        <w:tab/>
      </w:r>
      <w:r w:rsidRPr="00ED6160">
        <w:rPr>
          <w:color w:val="000000" w:themeColor="text1"/>
          <w:u w:color="000000" w:themeColor="text1"/>
        </w:rPr>
        <w:tab/>
        <w:t>(A)</w:t>
      </w:r>
      <w:r w:rsidRPr="00ED6160">
        <w:rPr>
          <w:color w:val="000000" w:themeColor="text1"/>
          <w:u w:color="000000" w:themeColor="text1"/>
        </w:rPr>
        <w:tab/>
        <w:t>All agencies must adopt and implement the policies, guidelines, and standards developed by the Chief Information Security Officer.</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50.</w:t>
      </w:r>
      <w:r w:rsidRPr="00ED6160">
        <w:rPr>
          <w:color w:val="000000" w:themeColor="text1"/>
          <w:u w:color="000000" w:themeColor="text1"/>
        </w:rPr>
        <w:tab/>
      </w:r>
      <w:r w:rsidRPr="00ED6160">
        <w:rPr>
          <w:color w:val="000000" w:themeColor="text1"/>
          <w:u w:color="000000" w:themeColor="text1"/>
        </w:rPr>
        <w:tab/>
        <w:t>For purposes of this chapter, ‘</w:t>
      </w:r>
      <w:r>
        <w:rPr>
          <w:color w:val="000000" w:themeColor="text1"/>
          <w:u w:color="000000" w:themeColor="text1"/>
        </w:rPr>
        <w:t>a</w:t>
      </w:r>
      <w:r w:rsidRPr="00ED6160">
        <w:rPr>
          <w:color w:val="000000" w:themeColor="text1"/>
          <w:u w:color="000000" w:themeColor="text1"/>
        </w:rPr>
        <w:t>gency’ means all state agencies, departments, boards, commissions, institutions, and authorities, except the legislative and judicial departments of state government,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  ‘Agency’ also includes all political subdivisions of this State, including school districts, and public authorities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w:t>
      </w:r>
    </w:p>
    <w:p w:rsidR="00116B25" w:rsidRPr="00ED6160"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60.</w:t>
      </w:r>
      <w:r w:rsidRPr="00ED6160">
        <w:rPr>
          <w:color w:val="000000" w:themeColor="text1"/>
          <w:u w:color="000000" w:themeColor="text1"/>
        </w:rPr>
        <w:tab/>
      </w:r>
      <w:r w:rsidRPr="00ED6160">
        <w:rPr>
          <w:color w:val="000000" w:themeColor="text1"/>
          <w:u w:color="000000" w:themeColor="text1"/>
        </w:rPr>
        <w:tab/>
        <w:t>The Division of Information Security may promulgate regulations necessary to implement the provisions of this chapter and to accomplish the objectives set forth in Section 1</w:t>
      </w:r>
      <w:r w:rsidRPr="00ED6160">
        <w:rPr>
          <w:color w:val="000000" w:themeColor="text1"/>
          <w:u w:color="000000" w:themeColor="text1"/>
        </w:rPr>
        <w:noBreakHyphen/>
        <w:t>36</w:t>
      </w:r>
      <w:r w:rsidRPr="00ED6160">
        <w:rPr>
          <w:color w:val="000000" w:themeColor="text1"/>
          <w:u w:color="000000" w:themeColor="text1"/>
        </w:rPr>
        <w:noBreakHyphen/>
        <w:t>20.  The regulations may include penalties for any agency in violation of Section 1</w:t>
      </w:r>
      <w:r w:rsidRPr="00ED6160">
        <w:rPr>
          <w:color w:val="000000" w:themeColor="text1"/>
          <w:u w:color="000000" w:themeColor="text1"/>
        </w:rPr>
        <w:noBreakHyphen/>
        <w:t>36</w:t>
      </w:r>
      <w:r w:rsidRPr="00ED6160">
        <w:rPr>
          <w:color w:val="000000" w:themeColor="text1"/>
          <w:u w:color="000000" w:themeColor="text1"/>
        </w:rPr>
        <w:noBreakHyphen/>
        <w:t>40.</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Article 3</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Technology Investment Council</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310. </w:t>
      </w:r>
      <w:r w:rsidRPr="009B7E73">
        <w:rPr>
          <w:color w:val="000000" w:themeColor="text1"/>
          <w:u w:color="000000" w:themeColor="text1"/>
        </w:rPr>
        <w:tab/>
        <w:t>There is hereby established a Technology Investment Council.  The council shall consist of seven members, appointed as follows: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the Director of the Budget and Control Board, Division of State Information Technology, who shall serve as chairman;</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the Chief Information Security Officer;</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320. </w:t>
      </w:r>
      <w:r w:rsidRPr="009B7E73">
        <w:rPr>
          <w:color w:val="000000" w:themeColor="text1"/>
          <w:u w:color="000000" w:themeColor="text1"/>
        </w:rPr>
        <w:tab/>
        <w:t xml:space="preserve">The duties of the council are as follows: </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adopt policies and procedures used to develop, review, and annually update a statewide technology plan and provide it to the Governor, Office of State Budget, and the General Assembly;</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 xml:space="preserve">by October 1, 2013, and each October first thereafter, the council shall provide the Governor, the Legislative Fiscal Office, the Executive Budget and Strategic Planning Office, and the General Assembly with a statewide technology plan.  The plan shall discuss the </w:t>
      </w:r>
      <w:r>
        <w:rPr>
          <w:color w:val="000000" w:themeColor="text1"/>
          <w:u w:color="000000" w:themeColor="text1"/>
        </w:rPr>
        <w:t>state’s</w:t>
      </w:r>
      <w:r w:rsidRPr="009B7E73">
        <w:rPr>
          <w:color w:val="000000" w:themeColor="text1"/>
          <w:u w:color="000000" w:themeColor="text1"/>
        </w:rPr>
        <w:t xml:space="preserve"> overall technology needs over a multiyear period and the potential budgetary implications of meeting those needs;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by November fifteenth of each year, the council shall make recommendations to the Governor and General Assembly regarding the funding of technology for the next fiscal year;</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enforce active project management, review the progress of current projects to determine if they are on budget and have met their project milestones, and when necessary, recommend the termination of projects;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develop minimum technical standards, guidelines, and architectures as required for state technology projects.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330. </w:t>
      </w:r>
      <w:r w:rsidRPr="009B7E73">
        <w:rPr>
          <w:color w:val="000000" w:themeColor="text1"/>
          <w:u w:color="000000" w:themeColor="text1"/>
        </w:rPr>
        <w:tab/>
        <w:t>To assist the council and Division of Information Security in fulfilling its duties, each agency shall name an individual to act as that agency’s ‘information security officer’.  It is the intent of this section that such information security officers will act as the primary points of contact for appropriate communications between the council and the Division of Information Security.”</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Section 1</w:t>
      </w:r>
      <w:r w:rsidRPr="009B7E73">
        <w:rPr>
          <w:color w:val="000000" w:themeColor="text1"/>
          <w:u w:color="000000" w:themeColor="text1"/>
        </w:rPr>
        <w:noBreakHyphen/>
        <w:t>3</w:t>
      </w:r>
      <w:r w:rsidRPr="009B7E73">
        <w:rPr>
          <w:color w:val="000000" w:themeColor="text1"/>
          <w:u w:color="000000" w:themeColor="text1"/>
        </w:rPr>
        <w:noBreakHyphen/>
        <w:t>240(C)(1) of the 1976 Code, as last amended by Act 105 of 2012, is further amended by adding an appropriately numbered subitem at the end to read: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  )</w:t>
      </w:r>
      <w:r w:rsidRPr="009B7E73">
        <w:rPr>
          <w:color w:val="000000" w:themeColor="text1"/>
          <w:u w:color="000000" w:themeColor="text1"/>
        </w:rPr>
        <w:tab/>
        <w:t>Chief Information Security Officer.”</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C. </w:t>
      </w:r>
      <w:r w:rsidRPr="009B7E73">
        <w:rPr>
          <w:color w:val="000000" w:themeColor="text1"/>
          <w:u w:color="000000" w:themeColor="text1"/>
        </w:rPr>
        <w:tab/>
        <w:t>Notwithstanding the general effective date of this act, this SECTION takes effect July 1, 2013.</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4.</w:t>
      </w:r>
      <w:r w:rsidRPr="009B7E73">
        <w:rPr>
          <w:color w:val="000000" w:themeColor="text1"/>
          <w:u w:color="000000" w:themeColor="text1"/>
        </w:rPr>
        <w:tab/>
        <w:t>Title 2 of the 1976 Code is amended by adding:</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“CHAPTER 79</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Joint Information Security Oversight Committee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10.</w:t>
      </w:r>
      <w:r w:rsidRPr="009B7E73">
        <w:rPr>
          <w:color w:val="000000" w:themeColor="text1"/>
          <w:u w:color="000000" w:themeColor="text1"/>
        </w:rPr>
        <w:tab/>
        <w:t>The General Assembly finds that:</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 xml:space="preserve">a need exists for the protection of the </w:t>
      </w:r>
      <w:r>
        <w:rPr>
          <w:color w:val="000000" w:themeColor="text1"/>
          <w:u w:color="000000" w:themeColor="text1"/>
        </w:rPr>
        <w:t>state’s</w:t>
      </w:r>
      <w:r w:rsidRPr="009B7E73">
        <w:rPr>
          <w:color w:val="000000" w:themeColor="text1"/>
          <w:u w:color="000000" w:themeColor="text1"/>
        </w:rPr>
        <w:t xml:space="preserve"> information and cyber security infrastructure;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a need exists for statewide policies, standards, programs</w:t>
      </w:r>
      <w:r>
        <w:rPr>
          <w:color w:val="000000" w:themeColor="text1"/>
          <w:u w:color="000000" w:themeColor="text1"/>
        </w:rPr>
        <w:t>,</w:t>
      </w:r>
      <w:r w:rsidRPr="009B7E73">
        <w:rPr>
          <w:color w:val="000000" w:themeColor="text1"/>
          <w:u w:color="000000" w:themeColor="text1"/>
        </w:rPr>
        <w:t xml:space="preserve"> and services relating to cyber security and information systems; and</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it is necessary that the General Assembly be kept apprised of statewide efforts to improve cyber security, including any barriers to improved cyber security.</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20.</w:t>
      </w:r>
      <w:r w:rsidRPr="009B7E73">
        <w:rPr>
          <w:color w:val="000000" w:themeColor="text1"/>
          <w:u w:color="000000" w:themeColor="text1"/>
        </w:rPr>
        <w:tab/>
        <w:t>There is created the Joint Information Security Oversight Committee to conduct a continuing study of the laws of this State affecting cyber security, including the receipt of information from the D</w:t>
      </w:r>
      <w:r>
        <w:rPr>
          <w:color w:val="000000" w:themeColor="text1"/>
          <w:u w:color="000000" w:themeColor="text1"/>
        </w:rPr>
        <w:t>ivision</w:t>
      </w:r>
      <w:r w:rsidRPr="009B7E73">
        <w:rPr>
          <w:color w:val="000000" w:themeColor="text1"/>
          <w:u w:color="000000" w:themeColor="text1"/>
        </w:rPr>
        <w:t xml:space="preserve"> of Information Security regarding impediments to improved cyber security. The committee is composed of nine members appointed as follows: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two members appointed by the Chairman of the Senate Finance Committee;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two members appointed by the Chairman of the House Ways and Means Committee;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one member appointed by the President Pro Tempore of the Senate;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one member appointed by the Speaker of the House of Representatives;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two members appointed by the Governor; and</w:t>
      </w:r>
      <w:r w:rsidRPr="009B7E73">
        <w:rPr>
          <w:color w:val="000000" w:themeColor="text1"/>
          <w:u w:color="000000" w:themeColor="text1"/>
        </w:rPr>
        <w:tab/>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the Chief Information Security Officer who shall serve ex officio.</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3</w:t>
      </w:r>
      <w:r w:rsidRPr="009B7E73">
        <w:rPr>
          <w:color w:val="000000" w:themeColor="text1"/>
          <w:u w:color="000000" w:themeColor="text1"/>
        </w:rPr>
        <w:t>0.</w:t>
      </w:r>
      <w:r w:rsidRPr="009B7E73">
        <w:rPr>
          <w:color w:val="000000" w:themeColor="text1"/>
          <w:u w:color="000000" w:themeColor="text1"/>
        </w:rPr>
        <w:tab/>
        <w:t>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require the appearance of witnesses and the production of documents as provided for in Chapter 69, Title 2.</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4</w:t>
      </w:r>
      <w:r w:rsidRPr="009B7E73">
        <w:rPr>
          <w:color w:val="000000" w:themeColor="text1"/>
          <w:u w:color="000000" w:themeColor="text1"/>
        </w:rPr>
        <w:t>0.</w:t>
      </w:r>
      <w:r w:rsidRPr="009B7E73">
        <w:rPr>
          <w:color w:val="000000" w:themeColor="text1"/>
          <w:u w:color="000000" w:themeColor="text1"/>
        </w:rPr>
        <w:tab/>
        <w:t>(A)</w:t>
      </w:r>
      <w:r w:rsidRPr="009B7E73">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w:t>
      </w:r>
      <w:r>
        <w:rPr>
          <w:color w:val="000000" w:themeColor="text1"/>
          <w:u w:color="000000" w:themeColor="text1"/>
        </w:rPr>
        <w:t>ivision</w:t>
      </w:r>
      <w:r w:rsidRPr="009B7E73">
        <w:rPr>
          <w:color w:val="000000" w:themeColor="text1"/>
          <w:u w:color="000000" w:themeColor="text1"/>
        </w:rPr>
        <w:t xml:space="preserve"> of Information Security for the Chief Information Security Officer.</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Staffs of the Senate, the House of Representatives, and the D</w:t>
      </w:r>
      <w:r>
        <w:rPr>
          <w:color w:val="000000" w:themeColor="text1"/>
          <w:u w:color="000000" w:themeColor="text1"/>
        </w:rPr>
        <w:t>ivision</w:t>
      </w:r>
      <w:r w:rsidRPr="009B7E73">
        <w:rPr>
          <w:color w:val="000000" w:themeColor="text1"/>
          <w:u w:color="000000" w:themeColor="text1"/>
        </w:rPr>
        <w:t xml:space="preserve"> of Information Security must be available to assist the commission in its work.  Any other expenses incurred by the commission shall be paid equally from each respective house’s approved account subject to the approval of the Senate Operations and Management Committee and the Speaker of the House.”</w:t>
      </w:r>
    </w:p>
    <w:p w:rsidR="00116B25" w:rsidRPr="009B7E73" w:rsidRDefault="00116B2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3E0752"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E0752">
        <w:rPr>
          <w:color w:val="000000" w:themeColor="text1"/>
          <w:u w:color="000000" w:themeColor="text1"/>
        </w:rPr>
        <w:t>.</w:t>
      </w:r>
      <w:r w:rsidRPr="003E0752">
        <w:rPr>
          <w:color w:val="000000" w:themeColor="text1"/>
          <w:u w:color="000000" w:themeColor="text1"/>
        </w:rPr>
        <w:tab/>
        <w:t>Article 3, Chapter 4, Title 12 of the 1976 Code is amended by adding:</w:t>
      </w:r>
    </w:p>
    <w:p w:rsidR="00116B25" w:rsidRPr="003E0752"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A85812"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t>“</w:t>
      </w:r>
      <w:r w:rsidRPr="00A85812">
        <w:rPr>
          <w:color w:val="000000" w:themeColor="text1"/>
          <w:u w:color="000000" w:themeColor="text1"/>
        </w:rPr>
        <w:t>Section 12</w:t>
      </w:r>
      <w:r w:rsidRPr="00A85812">
        <w:rPr>
          <w:color w:val="000000" w:themeColor="text1"/>
          <w:u w:color="000000" w:themeColor="text1"/>
        </w:rPr>
        <w:noBreakHyphen/>
        <w:t>4</w:t>
      </w:r>
      <w:r w:rsidRPr="00A85812">
        <w:rPr>
          <w:color w:val="000000" w:themeColor="text1"/>
          <w:u w:color="000000" w:themeColor="text1"/>
        </w:rPr>
        <w:noBreakHyphen/>
        <w:t>355.</w:t>
      </w:r>
      <w:r w:rsidRPr="00A85812">
        <w:rPr>
          <w:color w:val="000000" w:themeColor="text1"/>
          <w:u w:color="000000" w:themeColor="text1"/>
        </w:rPr>
        <w:tab/>
        <w:t>(A)</w:t>
      </w:r>
      <w:r w:rsidRPr="00A85812">
        <w:rPr>
          <w:color w:val="000000" w:themeColor="text1"/>
          <w:u w:color="000000" w:themeColor="text1"/>
        </w:rPr>
        <w:tab/>
        <w:t>For the purposes of this section:</w:t>
      </w: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812">
        <w:rPr>
          <w:color w:val="000000" w:themeColor="text1"/>
          <w:u w:color="000000" w:themeColor="text1"/>
        </w:rPr>
        <w:tab/>
      </w:r>
      <w:r w:rsidRPr="00A85812">
        <w:rPr>
          <w:color w:val="000000" w:themeColor="text1"/>
          <w:u w:color="000000" w:themeColor="text1"/>
        </w:rPr>
        <w:tab/>
        <w:t>(1)</w:t>
      </w:r>
      <w:r w:rsidRPr="00A85812">
        <w:rPr>
          <w:color w:val="000000" w:themeColor="text1"/>
          <w:u w:color="000000" w:themeColor="text1"/>
        </w:rPr>
        <w:tab/>
        <w:t>‘Eligible person’ shall mean a person whose personally identifiable information was obtained by a third party from a compromised computer system maintained by a state agency, board, committee, or commission.</w:t>
      </w:r>
      <w:r>
        <w:rPr>
          <w:color w:val="000000" w:themeColor="text1"/>
          <w:u w:color="000000" w:themeColor="text1"/>
        </w:rPr>
        <w:t xml:space="preserve"> </w:t>
      </w: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A85812">
        <w:rPr>
          <w:color w:val="000000" w:themeColor="text1"/>
          <w:u w:color="000000" w:themeColor="text1"/>
        </w:rPr>
        <w:t>(2)</w:t>
      </w:r>
      <w:r w:rsidRPr="00A85812">
        <w:rPr>
          <w:color w:val="000000" w:themeColor="text1"/>
          <w:u w:color="000000" w:themeColor="text1"/>
        </w:rPr>
        <w:tab/>
      </w:r>
      <w:r w:rsidRPr="00A85812">
        <w:t>‘Eligible expenses’ shall mean financial losses incurred by an eligible person directly related to the misappropriation of the eligible person’</w:t>
      </w:r>
      <w:r>
        <w:t xml:space="preserve">s personally identifiable information that was </w:t>
      </w:r>
      <w:r w:rsidRPr="00A85812">
        <w:rPr>
          <w:color w:val="000000" w:themeColor="text1"/>
          <w:u w:color="000000" w:themeColor="text1"/>
        </w:rPr>
        <w:t>obtained by a third party from a compromised computer system maintained by a state agency, board, committee, or commission.</w:t>
      </w:r>
      <w:r>
        <w:rPr>
          <w:color w:val="000000" w:themeColor="text1"/>
          <w:u w:color="000000" w:themeColor="text1"/>
        </w:rPr>
        <w:t xml:space="preserve">  Expenses for services provided by private entities to assist eligible persons with financial losses are not eligible expenses to the extent such services are offered through the State or a state-supported program free of charge.</w:t>
      </w:r>
    </w:p>
    <w:p w:rsidR="00116B25" w:rsidRPr="00A85812"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812">
        <w:rPr>
          <w:color w:val="000000" w:themeColor="text1"/>
          <w:u w:color="000000" w:themeColor="text1"/>
        </w:rPr>
        <w:tab/>
      </w:r>
      <w:r w:rsidRPr="00A85812">
        <w:rPr>
          <w:color w:val="000000" w:themeColor="text1"/>
          <w:u w:color="000000" w:themeColor="text1"/>
        </w:rPr>
        <w:tab/>
        <w:t>(3)</w:t>
      </w:r>
      <w:r w:rsidRPr="00A85812">
        <w:rPr>
          <w:color w:val="000000" w:themeColor="text1"/>
          <w:u w:color="000000" w:themeColor="text1"/>
        </w:rPr>
        <w:tab/>
        <w:t xml:space="preserve">‘Financial losses’ </w:t>
      </w:r>
      <w:r w:rsidRPr="00A85812">
        <w:t xml:space="preserve">shall mean actual losses, </w:t>
      </w:r>
      <w:r>
        <w:t xml:space="preserve">including, but not limited to, </w:t>
      </w:r>
      <w:r w:rsidRPr="00A85812">
        <w:t xml:space="preserve">lost wages, attorneys’ fees, and other costs incurred by an eligible person related to correcting his credit history or credit rating, or </w:t>
      </w:r>
      <w:r>
        <w:t xml:space="preserve">costs or judgments </w:t>
      </w:r>
      <w:r w:rsidRPr="00A85812">
        <w:t>related to any criminal, civil, or administrative proceeding brought against the eligible person resulting from the misappropriation of the victim’s personally identifiable information</w:t>
      </w:r>
      <w:r>
        <w:t xml:space="preserve"> not recovered from any other source</w:t>
      </w:r>
      <w:r w:rsidRPr="00A85812">
        <w:t>.</w:t>
      </w:r>
      <w:r>
        <w:t xml:space="preserve">  Costs associated with the </w:t>
      </w:r>
      <w:r w:rsidRPr="00EA1BEA">
        <w:t>purchase of identity theft protection and identity theft resolution services as defined in Section 12</w:t>
      </w:r>
      <w:r w:rsidRPr="00EA1BEA">
        <w:noBreakHyphen/>
        <w:t>4</w:t>
      </w:r>
      <w:r w:rsidRPr="00EA1BEA">
        <w:noBreakHyphen/>
        <w:t>352(A)(2) and Section 12</w:t>
      </w:r>
      <w:r w:rsidRPr="00EA1BEA">
        <w:noBreakHyphen/>
        <w:t>4</w:t>
      </w:r>
      <w:r w:rsidRPr="00EA1BEA">
        <w:noBreakHyphen/>
        <w:t>352(A)(3)</w:t>
      </w:r>
      <w:r>
        <w:t xml:space="preserve"> are not financial losses.</w:t>
      </w:r>
    </w:p>
    <w:p w:rsidR="00116B25" w:rsidRPr="003E0752"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r>
      <w:r w:rsidRPr="003E0752">
        <w:rPr>
          <w:color w:val="000000" w:themeColor="text1"/>
          <w:u w:color="000000" w:themeColor="text1"/>
        </w:rPr>
        <w:tab/>
        <w:t>(</w:t>
      </w:r>
      <w:r>
        <w:rPr>
          <w:color w:val="000000" w:themeColor="text1"/>
          <w:u w:color="000000" w:themeColor="text1"/>
        </w:rPr>
        <w:t>4</w:t>
      </w:r>
      <w:r w:rsidRPr="003E0752">
        <w:rPr>
          <w:color w:val="000000" w:themeColor="text1"/>
          <w:u w:color="000000" w:themeColor="text1"/>
        </w:rPr>
        <w:t>)</w:t>
      </w:r>
      <w:r w:rsidRPr="003E0752">
        <w:rPr>
          <w:color w:val="000000" w:themeColor="text1"/>
          <w:u w:color="000000" w:themeColor="text1"/>
        </w:rPr>
        <w:tab/>
        <w:t>‘Person’ shall mean an individual, corporation, firm, association, joint venture, partnership, limited liability corporation, or any other business entity.</w:t>
      </w:r>
    </w:p>
    <w:p w:rsidR="00116B25" w:rsidRPr="003E0752"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r>
      <w:r w:rsidRPr="003E0752">
        <w:rPr>
          <w:color w:val="000000" w:themeColor="text1"/>
          <w:u w:color="000000" w:themeColor="text1"/>
        </w:rPr>
        <w:tab/>
        <w:t>(</w:t>
      </w:r>
      <w:r>
        <w:rPr>
          <w:color w:val="000000" w:themeColor="text1"/>
          <w:u w:color="000000" w:themeColor="text1"/>
        </w:rPr>
        <w:t>5</w:t>
      </w:r>
      <w:r w:rsidRPr="003E0752">
        <w:rPr>
          <w:color w:val="000000" w:themeColor="text1"/>
          <w:u w:color="000000" w:themeColor="text1"/>
        </w:rPr>
        <w:t>)</w:t>
      </w:r>
      <w:r w:rsidRPr="003E0752">
        <w:rPr>
          <w:color w:val="000000" w:themeColor="text1"/>
          <w:u w:color="000000" w:themeColor="text1"/>
        </w:rPr>
        <w:tab/>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t>(B)</w:t>
      </w:r>
      <w:r w:rsidRPr="003E0752">
        <w:rPr>
          <w:color w:val="000000" w:themeColor="text1"/>
          <w:u w:color="000000" w:themeColor="text1"/>
        </w:rPr>
        <w:tab/>
        <w:t xml:space="preserve">There is established in the State Treasury the Department of Revenue Identity Theft Reimbursement Fund which must be maintained separately from the general fund of the State and all other funds.  The proceeds of the fund must be utilized to reimburse eligible expenses </w:t>
      </w:r>
      <w:r>
        <w:rPr>
          <w:color w:val="000000" w:themeColor="text1"/>
          <w:u w:color="000000" w:themeColor="text1"/>
        </w:rPr>
        <w:t>incurred by an eligible person.  The obligation to reimburse claims pursuant to this section does not arise until monies are credited to the fund, and only to the extent that monies are credited to the fund.</w:t>
      </w: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C4D74">
        <w:rPr>
          <w:color w:val="000000" w:themeColor="text1"/>
          <w:u w:color="000000" w:themeColor="text1"/>
        </w:rPr>
        <w:t xml:space="preserve">A person seeking reimbursement from the fund must file with </w:t>
      </w:r>
      <w:r>
        <w:rPr>
          <w:color w:val="000000" w:themeColor="text1"/>
          <w:u w:color="000000" w:themeColor="text1"/>
        </w:rPr>
        <w:t xml:space="preserve">the </w:t>
      </w:r>
      <w:r w:rsidRPr="00CC4D74">
        <w:rPr>
          <w:color w:val="000000" w:themeColor="text1"/>
          <w:u w:color="000000" w:themeColor="text1"/>
        </w:rPr>
        <w:t xml:space="preserve">Treasurer a claim on a form prescribed by him and verified by the claimant. </w:t>
      </w:r>
      <w:r>
        <w:rPr>
          <w:color w:val="000000" w:themeColor="text1"/>
          <w:u w:color="000000" w:themeColor="text1"/>
        </w:rPr>
        <w:t xml:space="preserve"> The T</w:t>
      </w:r>
      <w:r w:rsidRPr="00CC4D74">
        <w:rPr>
          <w:color w:val="000000" w:themeColor="text1"/>
          <w:u w:color="000000" w:themeColor="text1"/>
        </w:rPr>
        <w:t>reasurer shall consider each claim within ninety days after it is filed and give written notice to the claimant if the claim</w:t>
      </w:r>
      <w:r>
        <w:rPr>
          <w:color w:val="000000" w:themeColor="text1"/>
          <w:u w:color="000000" w:themeColor="text1"/>
        </w:rPr>
        <w:t xml:space="preserve"> is denied in whole or in part</w:t>
      </w:r>
      <w:r w:rsidRPr="00CC4D74">
        <w:rPr>
          <w:color w:val="000000" w:themeColor="text1"/>
          <w:u w:color="000000" w:themeColor="text1"/>
        </w:rPr>
        <w:t xml:space="preserve">. </w:t>
      </w:r>
      <w:r>
        <w:rPr>
          <w:color w:val="000000" w:themeColor="text1"/>
          <w:u w:color="000000" w:themeColor="text1"/>
        </w:rPr>
        <w:t xml:space="preserve"> I</w:t>
      </w:r>
      <w:r w:rsidRPr="00CC4D74">
        <w:rPr>
          <w:color w:val="000000" w:themeColor="text1"/>
          <w:u w:color="000000" w:themeColor="text1"/>
        </w:rPr>
        <w:t xml:space="preserve">f a claim is allowed, the </w:t>
      </w:r>
      <w:r>
        <w:rPr>
          <w:color w:val="000000" w:themeColor="text1"/>
          <w:u w:color="000000" w:themeColor="text1"/>
        </w:rPr>
        <w:t>Treasurer shall reimburse</w:t>
      </w:r>
      <w:r w:rsidRPr="00CC4D74">
        <w:rPr>
          <w:color w:val="000000" w:themeColor="text1"/>
          <w:u w:color="000000" w:themeColor="text1"/>
        </w:rPr>
        <w:t xml:space="preserve"> the eligible person </w:t>
      </w:r>
      <w:r>
        <w:rPr>
          <w:color w:val="000000" w:themeColor="text1"/>
          <w:u w:color="000000" w:themeColor="text1"/>
        </w:rPr>
        <w:t xml:space="preserve">in </w:t>
      </w:r>
      <w:r w:rsidRPr="00CC4D74">
        <w:rPr>
          <w:color w:val="000000" w:themeColor="text1"/>
          <w:u w:color="000000" w:themeColor="text1"/>
        </w:rPr>
        <w:t xml:space="preserve">an amount equal to </w:t>
      </w:r>
      <w:r>
        <w:rPr>
          <w:color w:val="000000" w:themeColor="text1"/>
          <w:u w:color="000000" w:themeColor="text1"/>
        </w:rPr>
        <w:t>his</w:t>
      </w:r>
      <w:r w:rsidRPr="00CC4D74">
        <w:rPr>
          <w:color w:val="000000" w:themeColor="text1"/>
          <w:u w:color="000000" w:themeColor="text1"/>
        </w:rPr>
        <w:t xml:space="preserve"> eligible expenses</w:t>
      </w:r>
      <w:r>
        <w:rPr>
          <w:color w:val="000000" w:themeColor="text1"/>
          <w:u w:color="000000" w:themeColor="text1"/>
        </w:rPr>
        <w:t xml:space="preserve"> subject to availability of monies in the fund</w:t>
      </w:r>
      <w:r w:rsidRPr="00CC4D74">
        <w:rPr>
          <w:color w:val="000000" w:themeColor="text1"/>
          <w:u w:color="000000" w:themeColor="text1"/>
        </w:rPr>
        <w:t>.</w:t>
      </w:r>
      <w:r>
        <w:rPr>
          <w:color w:val="000000" w:themeColor="text1"/>
          <w:u w:color="000000" w:themeColor="text1"/>
        </w:rPr>
        <w:t xml:space="preserve">  The decision by the Treasurer regarding a claim is a final agency decision that may be appealed to the Administrative Law Court pursuant to the Administrative Procedures Act naming the Treasurer as the defendant.  </w:t>
      </w:r>
      <w:r w:rsidRPr="00CC4D74">
        <w:rPr>
          <w:color w:val="000000" w:themeColor="text1"/>
          <w:u w:color="000000" w:themeColor="text1"/>
        </w:rPr>
        <w:t xml:space="preserve">The action must be brought within ninety days after the </w:t>
      </w:r>
      <w:r>
        <w:rPr>
          <w:color w:val="000000" w:themeColor="text1"/>
          <w:u w:color="000000" w:themeColor="text1"/>
        </w:rPr>
        <w:t xml:space="preserve">Treasurer’s </w:t>
      </w:r>
      <w:r w:rsidRPr="00CC4D74">
        <w:rPr>
          <w:color w:val="000000" w:themeColor="text1"/>
          <w:u w:color="000000" w:themeColor="text1"/>
        </w:rPr>
        <w:t>decision or within one hundred eighty days after the filing of the claim if he has failed to act on it.</w:t>
      </w: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(D)</w:t>
      </w:r>
      <w:r>
        <w:rPr>
          <w:color w:val="000000" w:themeColor="text1"/>
          <w:u w:color="000000" w:themeColor="text1"/>
        </w:rPr>
        <w:tab/>
        <w:t>The State Treasurer may promulgate regulations necessary to implement the provisions of this section, including the disbursal of proceeds of the fund.”</w:t>
      </w: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B25" w:rsidRPr="0062189E" w:rsidRDefault="00116B25"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2189E">
        <w:rPr>
          <w:color w:val="000000" w:themeColor="text1"/>
          <w:u w:color="000000" w:themeColor="text1"/>
        </w:rPr>
        <w:t>.</w:t>
      </w:r>
      <w:r w:rsidRPr="0062189E">
        <w:rPr>
          <w:color w:val="000000" w:themeColor="text1"/>
          <w:u w:color="000000" w:themeColor="text1"/>
        </w:rPr>
        <w:tab/>
        <w:t>Article 3, Chapter 4, Title 12 of the 1976 Code is amended by adding:</w:t>
      </w:r>
    </w:p>
    <w:p w:rsidR="00116B25" w:rsidRPr="0062189E" w:rsidRDefault="00116B25"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25" w:rsidRPr="0062189E" w:rsidRDefault="00116B25"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“Section 12</w:t>
      </w:r>
      <w:r w:rsidRPr="0062189E">
        <w:rPr>
          <w:color w:val="000000" w:themeColor="text1"/>
          <w:u w:color="000000" w:themeColor="text1"/>
        </w:rPr>
        <w:noBreakHyphen/>
        <w:t>4</w:t>
      </w:r>
      <w:r w:rsidRPr="0062189E">
        <w:rPr>
          <w:color w:val="000000" w:themeColor="text1"/>
          <w:u w:color="000000" w:themeColor="text1"/>
        </w:rPr>
        <w:noBreakHyphen/>
        <w:t xml:space="preserve">356. </w:t>
      </w:r>
      <w:r w:rsidRPr="0062189E">
        <w:rPr>
          <w:color w:val="000000" w:themeColor="text1"/>
          <w:u w:color="000000" w:themeColor="text1"/>
        </w:rPr>
        <w:tab/>
        <w:t>(A)</w:t>
      </w:r>
      <w:r w:rsidRPr="0062189E">
        <w:rPr>
          <w:color w:val="000000" w:themeColor="text1"/>
          <w:u w:color="000000" w:themeColor="text1"/>
        </w:rPr>
        <w:tab/>
        <w:t>There is created in the State Treasury the Spartanburg County Amusement Train Disaster Relief Fund. This fund is separate and distinct from the general fund of the State and all other funds. Earnings and interest on this fund must be credited to it and any balance in this fund at the end of a fiscal year carries forward in the fund in the succeeding fiscal year.  The purpose of the fund is to compensate victims of the amusement train derailment in Cleveland Park in Spartanburg County on March 19, 2011, for medical costs not covered by insurance or other means which exceed the individual victim’s share of the maximum amount recoverable from a governmental entity for a single occurrence pursuant to Section 15</w:t>
      </w:r>
      <w:r>
        <w:rPr>
          <w:color w:val="000000" w:themeColor="text1"/>
          <w:u w:color="000000" w:themeColor="text1"/>
        </w:rPr>
        <w:noBreakHyphen/>
        <w:t>78</w:t>
      </w:r>
      <w:r>
        <w:rPr>
          <w:color w:val="000000" w:themeColor="text1"/>
          <w:u w:color="000000" w:themeColor="text1"/>
        </w:rPr>
        <w:noBreakHyphen/>
        <w:t>120 of the Tort Claims Act.  The obligation to compensate victims pursuant to this section does not arise until monies are credited to the fund, and only to the extent that monies are credited to the fund.</w:t>
      </w:r>
    </w:p>
    <w:p w:rsidR="00116B25" w:rsidRPr="0062189E" w:rsidRDefault="00116B25"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(B)</w:t>
      </w:r>
      <w:r w:rsidRPr="0062189E">
        <w:rPr>
          <w:color w:val="000000" w:themeColor="text1"/>
          <w:u w:color="000000" w:themeColor="text1"/>
        </w:rPr>
        <w:tab/>
        <w:t>The Department of Revenue shall serve as the administrator for the fund. The department shall establish a sixty day period to receive claims to the fund. For two weeks prior to the opening of the claims period, the department must publish a notice in a newspaper of general circulation in Spartanburg County the procedure by which claims may be submitted. The State Office of Victim Assistance shall provide administrative and logistical assistance to the department. The department may use up to fifty thousand dollars from the fund to defray the costs associated with managing the fund and to reimburse the State Office of Victim Assistance for any costs associated with providing support.</w:t>
      </w:r>
    </w:p>
    <w:p w:rsidR="00116B25" w:rsidRPr="0062189E" w:rsidRDefault="00116B25"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(C)</w:t>
      </w:r>
      <w:r w:rsidRPr="0062189E">
        <w:rPr>
          <w:color w:val="000000" w:themeColor="text1"/>
          <w:u w:color="000000" w:themeColor="text1"/>
        </w:rPr>
        <w:tab/>
        <w:t>At the close of the claims period, the department shall pay to each claimant the actual amount of their verifiable medical expenses if the aggregate amount of claims to the fund does not exceed the amount available in the fund. If the aggregate amount of claims exceeds the amount in the fund, the department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w:t>
      </w:r>
      <w:r>
        <w:rPr>
          <w:color w:val="000000" w:themeColor="text1"/>
          <w:u w:color="000000" w:themeColor="text1"/>
        </w:rPr>
        <w:t>’</w:t>
      </w:r>
      <w:r w:rsidRPr="0062189E">
        <w:rPr>
          <w:color w:val="000000" w:themeColor="text1"/>
          <w:u w:color="000000" w:themeColor="text1"/>
        </w:rPr>
        <w:t xml:space="preserve"> fees.  Any monies remaining in the fund after full payment is made to all claimants must be transferred to the Insurance Reserve Fund.</w:t>
      </w:r>
    </w:p>
    <w:p w:rsidR="00116B25" w:rsidRDefault="00116B25"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(D)</w:t>
      </w:r>
      <w:r w:rsidRPr="0062189E">
        <w:rPr>
          <w:color w:val="000000" w:themeColor="text1"/>
          <w:u w:color="000000" w:themeColor="text1"/>
        </w:rPr>
        <w:tab/>
        <w:t>Notwithstanding any other provision of law, any amount paid to a claimant pursuant to this section is not subject to any tax imposed by this title.”</w:t>
      </w:r>
    </w:p>
    <w:p w:rsidR="00116B25" w:rsidRDefault="00116B25"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9B7E73">
        <w:t>.</w:t>
      </w:r>
      <w:r w:rsidRPr="009B7E73">
        <w:tab/>
      </w:r>
      <w:r>
        <w:t>Except as otherwise provided, t</w:t>
      </w:r>
      <w:r w:rsidRPr="009B7E73">
        <w:t>his act takes effect upon approval by the Governor</w:t>
      </w: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25" w:rsidRDefault="00116B25"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7227" w:rsidRDefault="00A57227" w:rsidP="00116B25">
      <w:pPr>
        <w:pStyle w:val="BillDots0"/>
        <w:tabs>
          <w:tab w:val="clear" w:pos="216"/>
          <w:tab w:val="clear" w:pos="432"/>
          <w:tab w:val="clear" w:pos="648"/>
          <w:tab w:val="clear" w:pos="864"/>
          <w:tab w:val="clear" w:pos="1080"/>
          <w:tab w:val="clear" w:pos="1296"/>
          <w:tab w:val="clear" w:pos="5904"/>
          <w:tab w:val="right" w:pos="5933"/>
        </w:tabs>
      </w:pPr>
    </w:p>
    <w:sectPr w:rsidR="00A57227" w:rsidSect="00C77974">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FBC9D4-94E6-4D7F-99AA-632D664969AB}"/>
    <w:embedBold r:id="rId2" w:fontKey="{05C2E5C8-4BB7-45FB-A29D-A0F453DBFDEC}"/>
  </w:font>
  <w:font w:name="Calibri">
    <w:panose1 w:val="020F0502020204030204"/>
    <w:charset w:val="00"/>
    <w:family w:val="swiss"/>
    <w:pitch w:val="variable"/>
    <w:sig w:usb0="E10002FF" w:usb1="4000ACFF" w:usb2="00000009" w:usb3="00000000" w:csb0="0000019F" w:csb1="00000000"/>
    <w:embedRegular r:id="rId3" w:fontKey="{EFE54D8E-C3B3-467F-9C3E-728CFE4280EC}"/>
  </w:font>
  <w:font w:name="Tahoma">
    <w:panose1 w:val="020B0604030504040204"/>
    <w:charset w:val="00"/>
    <w:family w:val="swiss"/>
    <w:pitch w:val="variable"/>
    <w:sig w:usb0="21002A87" w:usb1="80000000" w:usb2="00000008" w:usb3="00000000" w:csb0="000101FF" w:csb1="00000000"/>
    <w:embedRegular r:id="rId4" w:fontKey="{26F4BE20-D69A-464E-9D14-387B202C2E39}"/>
  </w:font>
  <w:font w:name="Cambria">
    <w:panose1 w:val="02040503050406030204"/>
    <w:charset w:val="00"/>
    <w:family w:val="roman"/>
    <w:pitch w:val="variable"/>
    <w:sig w:usb0="E00002FF" w:usb1="400004FF" w:usb2="00000000" w:usb3="00000000" w:csb0="0000019F" w:csb1="00000000"/>
    <w:embedRegular r:id="rId5" w:fontKey="{0BC979EA-7BCF-4AD4-A67E-B46E2D6905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B25" w:rsidRPr="00A57227" w:rsidRDefault="00116B25" w:rsidP="00A57227">
    <w:pPr>
      <w:pStyle w:val="Footer"/>
      <w:tabs>
        <w:tab w:val="clear" w:pos="4680"/>
        <w:tab w:val="clear" w:pos="9360"/>
        <w:tab w:val="center" w:pos="2995"/>
      </w:tabs>
      <w:spacing w:before="120"/>
    </w:pPr>
    <w:r>
      <w:t>[334-</w:t>
    </w:r>
    <w:r w:rsidR="00D2494B">
      <w:fldChar w:fldCharType="begin"/>
    </w:r>
    <w:r w:rsidR="00D2494B">
      <w:instrText xml:space="preserve"> PAGE  \* MERGEFORMAT </w:instrText>
    </w:r>
    <w:r w:rsidR="00D2494B">
      <w:fldChar w:fldCharType="separate"/>
    </w:r>
    <w:r w:rsidR="00FD2F27">
      <w:rPr>
        <w:noProof/>
      </w:rPr>
      <w:t>1</w:t>
    </w:r>
    <w:r w:rsidR="00D249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974" w:rsidRPr="00A57227" w:rsidRDefault="00116B25" w:rsidP="00A57227">
    <w:pPr>
      <w:pStyle w:val="Footer"/>
      <w:tabs>
        <w:tab w:val="clear" w:pos="4680"/>
        <w:tab w:val="clear" w:pos="9360"/>
        <w:tab w:val="center" w:pos="2995"/>
      </w:tabs>
      <w:spacing w:before="120"/>
    </w:pPr>
    <w:r>
      <w:t>[334]</w:t>
    </w:r>
    <w:r>
      <w:tab/>
    </w:r>
    <w:r w:rsidR="00383580">
      <w:fldChar w:fldCharType="begin"/>
    </w:r>
    <w:r>
      <w:instrText xml:space="preserve"> PAGE  \* MERGEFORMAT </w:instrText>
    </w:r>
    <w:r w:rsidR="00383580">
      <w:fldChar w:fldCharType="separate"/>
    </w:r>
    <w:r w:rsidR="00FD2F27">
      <w:rPr>
        <w:noProof/>
      </w:rPr>
      <w:t>1</w:t>
    </w:r>
    <w:r w:rsidR="003835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05251"/>
    <w:rsid w:val="00026489"/>
    <w:rsid w:val="00026C9A"/>
    <w:rsid w:val="000748E1"/>
    <w:rsid w:val="00095FE2"/>
    <w:rsid w:val="000965A1"/>
    <w:rsid w:val="000B31BA"/>
    <w:rsid w:val="000C0A77"/>
    <w:rsid w:val="000C5865"/>
    <w:rsid w:val="000D15FA"/>
    <w:rsid w:val="000E1785"/>
    <w:rsid w:val="000E6E40"/>
    <w:rsid w:val="000F39F2"/>
    <w:rsid w:val="00100316"/>
    <w:rsid w:val="001023A4"/>
    <w:rsid w:val="001031F4"/>
    <w:rsid w:val="0010776B"/>
    <w:rsid w:val="001149DD"/>
    <w:rsid w:val="00116B25"/>
    <w:rsid w:val="00133E66"/>
    <w:rsid w:val="00134ACF"/>
    <w:rsid w:val="00144E15"/>
    <w:rsid w:val="00155A9B"/>
    <w:rsid w:val="00170187"/>
    <w:rsid w:val="001A4A62"/>
    <w:rsid w:val="001A681E"/>
    <w:rsid w:val="001A6BF2"/>
    <w:rsid w:val="001C175F"/>
    <w:rsid w:val="001D08F2"/>
    <w:rsid w:val="001D55A2"/>
    <w:rsid w:val="002037CA"/>
    <w:rsid w:val="002047A2"/>
    <w:rsid w:val="002321B6"/>
    <w:rsid w:val="0023696B"/>
    <w:rsid w:val="00243454"/>
    <w:rsid w:val="00250967"/>
    <w:rsid w:val="002759C5"/>
    <w:rsid w:val="002775C8"/>
    <w:rsid w:val="00277DEE"/>
    <w:rsid w:val="00280D88"/>
    <w:rsid w:val="0028531E"/>
    <w:rsid w:val="00294ABE"/>
    <w:rsid w:val="002A3EB4"/>
    <w:rsid w:val="002A5A9F"/>
    <w:rsid w:val="002A7572"/>
    <w:rsid w:val="00300167"/>
    <w:rsid w:val="0032036D"/>
    <w:rsid w:val="00325348"/>
    <w:rsid w:val="00357693"/>
    <w:rsid w:val="00375AE6"/>
    <w:rsid w:val="00383580"/>
    <w:rsid w:val="00393688"/>
    <w:rsid w:val="003A371A"/>
    <w:rsid w:val="003B09CE"/>
    <w:rsid w:val="003C0636"/>
    <w:rsid w:val="003D411E"/>
    <w:rsid w:val="003D518D"/>
    <w:rsid w:val="003E3C1E"/>
    <w:rsid w:val="003E6148"/>
    <w:rsid w:val="00400C31"/>
    <w:rsid w:val="00400D6A"/>
    <w:rsid w:val="00400EAA"/>
    <w:rsid w:val="00411C72"/>
    <w:rsid w:val="0041760A"/>
    <w:rsid w:val="004718F8"/>
    <w:rsid w:val="004809EE"/>
    <w:rsid w:val="004932F5"/>
    <w:rsid w:val="004C451D"/>
    <w:rsid w:val="004D495B"/>
    <w:rsid w:val="004E249A"/>
    <w:rsid w:val="004F32DC"/>
    <w:rsid w:val="00500970"/>
    <w:rsid w:val="005077E8"/>
    <w:rsid w:val="00511EE9"/>
    <w:rsid w:val="005207FD"/>
    <w:rsid w:val="00521E00"/>
    <w:rsid w:val="00577C6C"/>
    <w:rsid w:val="00580F79"/>
    <w:rsid w:val="0058501B"/>
    <w:rsid w:val="005F3C9E"/>
    <w:rsid w:val="006118FA"/>
    <w:rsid w:val="006208D7"/>
    <w:rsid w:val="006215AA"/>
    <w:rsid w:val="006340D9"/>
    <w:rsid w:val="00643B8E"/>
    <w:rsid w:val="006619BC"/>
    <w:rsid w:val="00665EBC"/>
    <w:rsid w:val="00680FA8"/>
    <w:rsid w:val="00681E52"/>
    <w:rsid w:val="00694502"/>
    <w:rsid w:val="0069470D"/>
    <w:rsid w:val="006A333A"/>
    <w:rsid w:val="006A476C"/>
    <w:rsid w:val="006C6A93"/>
    <w:rsid w:val="006D0CCC"/>
    <w:rsid w:val="006D132A"/>
    <w:rsid w:val="006E02F9"/>
    <w:rsid w:val="006E664F"/>
    <w:rsid w:val="006F466D"/>
    <w:rsid w:val="007374D4"/>
    <w:rsid w:val="00753C04"/>
    <w:rsid w:val="00756946"/>
    <w:rsid w:val="00757F80"/>
    <w:rsid w:val="007643E3"/>
    <w:rsid w:val="00771EEC"/>
    <w:rsid w:val="00786819"/>
    <w:rsid w:val="00797B89"/>
    <w:rsid w:val="00797C46"/>
    <w:rsid w:val="007A325A"/>
    <w:rsid w:val="007F1523"/>
    <w:rsid w:val="007F509E"/>
    <w:rsid w:val="007F5799"/>
    <w:rsid w:val="007F6947"/>
    <w:rsid w:val="00844F08"/>
    <w:rsid w:val="0085068C"/>
    <w:rsid w:val="00862CA2"/>
    <w:rsid w:val="00872729"/>
    <w:rsid w:val="008D2C9B"/>
    <w:rsid w:val="008F3875"/>
    <w:rsid w:val="008F4429"/>
    <w:rsid w:val="00905A7E"/>
    <w:rsid w:val="009242BD"/>
    <w:rsid w:val="009307E3"/>
    <w:rsid w:val="00932670"/>
    <w:rsid w:val="009352BB"/>
    <w:rsid w:val="00981B94"/>
    <w:rsid w:val="00990668"/>
    <w:rsid w:val="00992769"/>
    <w:rsid w:val="009C358A"/>
    <w:rsid w:val="009D6907"/>
    <w:rsid w:val="009F0C77"/>
    <w:rsid w:val="009F4DD1"/>
    <w:rsid w:val="00A04FE7"/>
    <w:rsid w:val="00A47862"/>
    <w:rsid w:val="00A54805"/>
    <w:rsid w:val="00A57227"/>
    <w:rsid w:val="00A64E80"/>
    <w:rsid w:val="00A741D9"/>
    <w:rsid w:val="00A76464"/>
    <w:rsid w:val="00A9741D"/>
    <w:rsid w:val="00AB628F"/>
    <w:rsid w:val="00AD2E61"/>
    <w:rsid w:val="00AD4B17"/>
    <w:rsid w:val="00B16EF7"/>
    <w:rsid w:val="00B26FA6"/>
    <w:rsid w:val="00B3534E"/>
    <w:rsid w:val="00B741CB"/>
    <w:rsid w:val="00B81933"/>
    <w:rsid w:val="00B934F3"/>
    <w:rsid w:val="00B978F7"/>
    <w:rsid w:val="00BB28C4"/>
    <w:rsid w:val="00BB6347"/>
    <w:rsid w:val="00BD0970"/>
    <w:rsid w:val="00BD2134"/>
    <w:rsid w:val="00BD3685"/>
    <w:rsid w:val="00BD4255"/>
    <w:rsid w:val="00C038D8"/>
    <w:rsid w:val="00C045DD"/>
    <w:rsid w:val="00C1751D"/>
    <w:rsid w:val="00C25892"/>
    <w:rsid w:val="00C3136F"/>
    <w:rsid w:val="00C3483A"/>
    <w:rsid w:val="00C74E9D"/>
    <w:rsid w:val="00C82FD3"/>
    <w:rsid w:val="00CC6B7B"/>
    <w:rsid w:val="00CD3619"/>
    <w:rsid w:val="00CF4447"/>
    <w:rsid w:val="00D2494B"/>
    <w:rsid w:val="00D32679"/>
    <w:rsid w:val="00D3416D"/>
    <w:rsid w:val="00D405E7"/>
    <w:rsid w:val="00D40B27"/>
    <w:rsid w:val="00D41D56"/>
    <w:rsid w:val="00D5783F"/>
    <w:rsid w:val="00D6260D"/>
    <w:rsid w:val="00D6662B"/>
    <w:rsid w:val="00D95E2F"/>
    <w:rsid w:val="00D970A9"/>
    <w:rsid w:val="00DA1D6F"/>
    <w:rsid w:val="00DB3AC0"/>
    <w:rsid w:val="00DE2D77"/>
    <w:rsid w:val="00DE68F0"/>
    <w:rsid w:val="00DF3845"/>
    <w:rsid w:val="00DF7316"/>
    <w:rsid w:val="00DF7E17"/>
    <w:rsid w:val="00E072CD"/>
    <w:rsid w:val="00E178CF"/>
    <w:rsid w:val="00E23715"/>
    <w:rsid w:val="00E82038"/>
    <w:rsid w:val="00EB00A2"/>
    <w:rsid w:val="00EB1BF3"/>
    <w:rsid w:val="00EF023F"/>
    <w:rsid w:val="00EF3EEE"/>
    <w:rsid w:val="00F04A09"/>
    <w:rsid w:val="00F149A7"/>
    <w:rsid w:val="00F368B7"/>
    <w:rsid w:val="00F50BAF"/>
    <w:rsid w:val="00F52C10"/>
    <w:rsid w:val="00F74F4A"/>
    <w:rsid w:val="00F81FFD"/>
    <w:rsid w:val="00F85228"/>
    <w:rsid w:val="00FB6773"/>
    <w:rsid w:val="00FC1585"/>
    <w:rsid w:val="00FD2F27"/>
    <w:rsid w:val="00FE189D"/>
    <w:rsid w:val="00FF5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C1758E-521E-45C3-ADB4-F1AE743E1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 w:type="character" w:styleId="Hyperlink">
    <w:name w:val="Hyperlink"/>
    <w:basedOn w:val="DefaultParagraphFont"/>
    <w:uiPriority w:val="99"/>
    <w:unhideWhenUsed/>
    <w:rsid w:val="006D13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13" Type="http://schemas.openxmlformats.org/officeDocument/2006/relationships/hyperlink" Target="file:///h:\SJ%20Archive\2013\04-11-13.docx" TargetMode="External"/><Relationship Id="rId18" Type="http://schemas.openxmlformats.org/officeDocument/2006/relationships/hyperlink" Target="file:///h:\HJ%20Archive\2013\04-17-13.docx" TargetMode="External"/><Relationship Id="rId26" Type="http://schemas.openxmlformats.org/officeDocument/2006/relationships/hyperlink" Target="file:///p:\pprever\2013-14\334_20130415.docx" TargetMode="External"/><Relationship Id="rId3" Type="http://schemas.openxmlformats.org/officeDocument/2006/relationships/settings" Target="settings.xml"/><Relationship Id="rId21" Type="http://schemas.openxmlformats.org/officeDocument/2006/relationships/hyperlink" Target="file:///p:\pprever\2013-14\334_20130321.docx" TargetMode="External"/><Relationship Id="rId7" Type="http://schemas.openxmlformats.org/officeDocument/2006/relationships/hyperlink" Target="file:///h:\SJ%20Archive\2013\02-06-13.docx" TargetMode="External"/><Relationship Id="rId12" Type="http://schemas.openxmlformats.org/officeDocument/2006/relationships/hyperlink" Target="file:///h:\SJ%20Archive\2013\04-11-13.docx" TargetMode="External"/><Relationship Id="rId17" Type="http://schemas.openxmlformats.org/officeDocument/2006/relationships/hyperlink" Target="file:///h:\HJ%20Archive\2013\04-17-13.docx" TargetMode="External"/><Relationship Id="rId25" Type="http://schemas.openxmlformats.org/officeDocument/2006/relationships/hyperlink" Target="file:///p:\pprever\2013-14\334_20130412.docx" TargetMode="External"/><Relationship Id="rId2" Type="http://schemas.openxmlformats.org/officeDocument/2006/relationships/styles" Target="styles.xml"/><Relationship Id="rId16" Type="http://schemas.openxmlformats.org/officeDocument/2006/relationships/hyperlink" Target="file:///h:\SJ%20Archive\2013\04-16-13.docx" TargetMode="External"/><Relationship Id="rId20" Type="http://schemas.openxmlformats.org/officeDocument/2006/relationships/hyperlink" Target="file:///p:\pprever\2013-14\334_20130320.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10-13.docx" TargetMode="External"/><Relationship Id="rId24" Type="http://schemas.openxmlformats.org/officeDocument/2006/relationships/hyperlink" Target="file:///p:\pprever\2013-14\334_20130411.docx" TargetMode="External"/><Relationship Id="rId5" Type="http://schemas.openxmlformats.org/officeDocument/2006/relationships/footnotes" Target="footnotes.xml"/><Relationship Id="rId15" Type="http://schemas.openxmlformats.org/officeDocument/2006/relationships/hyperlink" Target="file:///h:\SJ%20Archive\2013\04-11-13.docx" TargetMode="External"/><Relationship Id="rId23" Type="http://schemas.openxmlformats.org/officeDocument/2006/relationships/hyperlink" Target="file:///p:\pprever\2013-14\334_20130410.docx" TargetMode="External"/><Relationship Id="rId28" Type="http://schemas.openxmlformats.org/officeDocument/2006/relationships/footer" Target="footer2.xml"/><Relationship Id="rId10" Type="http://schemas.openxmlformats.org/officeDocument/2006/relationships/hyperlink" Target="file:///h:\SJ%20Archive\2013\04-09-13.docx" TargetMode="External"/><Relationship Id="rId19" Type="http://schemas.openxmlformats.org/officeDocument/2006/relationships/hyperlink" Target="file:///p:\pprever\2013-14\334_20130206.docx" TargetMode="External"/><Relationship Id="rId4" Type="http://schemas.openxmlformats.org/officeDocument/2006/relationships/webSettings" Target="webSettings.xml"/><Relationship Id="rId9" Type="http://schemas.openxmlformats.org/officeDocument/2006/relationships/hyperlink" Target="file:///h:\SJ%20Archive\2013\03-20-13.docx" TargetMode="External"/><Relationship Id="rId14" Type="http://schemas.openxmlformats.org/officeDocument/2006/relationships/hyperlink" Target="file:///h:\SJ%20Archive\2013\04-11-13.docx" TargetMode="External"/><Relationship Id="rId22" Type="http://schemas.openxmlformats.org/officeDocument/2006/relationships/hyperlink" Target="file:///p:\pprever\2013-14\334_20130409.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BA396-A2FE-4C29-BF47-5AB6496F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4</Pages>
  <Words>6253</Words>
  <Characters>35645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 Identity Theft Protection - South Carolina Legislature Online</dc:title>
  <dc:subject/>
  <dc:creator>nancylee</dc:creator>
  <cp:keywords/>
  <dc:description/>
  <cp:lastModifiedBy>N Cumfer</cp:lastModifiedBy>
  <cp:revision>10</cp:revision>
  <cp:lastPrinted>2013-02-05T19:57:00Z</cp:lastPrinted>
  <dcterms:created xsi:type="dcterms:W3CDTF">2013-04-15T17:37:00Z</dcterms:created>
  <dcterms:modified xsi:type="dcterms:W3CDTF">2014-12-04T20:38:00Z</dcterms:modified>
</cp:coreProperties>
</file>